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886"/>
      </w:tblGrid>
      <w:tr w:rsidR="008E5C03" w:rsidRPr="000617F0" w14:paraId="20CFBBA5" w14:textId="77777777" w:rsidTr="00FE45CA">
        <w:tc>
          <w:tcPr>
            <w:tcW w:w="9000" w:type="dxa"/>
            <w:gridSpan w:val="2"/>
            <w:shd w:val="clear" w:color="auto" w:fill="00B9E4"/>
          </w:tcPr>
          <w:p w14:paraId="06AE532A" w14:textId="7EE0CD1D" w:rsidR="008E5C03" w:rsidRPr="00FE45CA" w:rsidRDefault="00136FC5" w:rsidP="00FE45CA">
            <w:pPr>
              <w:spacing w:before="360"/>
              <w:jc w:val="center"/>
              <w:rPr>
                <w:b/>
                <w:sz w:val="36"/>
                <w:szCs w:val="32"/>
              </w:rPr>
            </w:pPr>
            <w:r>
              <w:rPr>
                <w:b/>
                <w:sz w:val="36"/>
                <w:szCs w:val="32"/>
              </w:rPr>
              <w:t xml:space="preserve">Second </w:t>
            </w:r>
            <w:r w:rsidR="00440E52">
              <w:rPr>
                <w:b/>
                <w:sz w:val="36"/>
                <w:szCs w:val="32"/>
              </w:rPr>
              <w:t>Consultation D</w:t>
            </w:r>
            <w:r w:rsidR="008E5C03" w:rsidRPr="00FE45CA">
              <w:rPr>
                <w:b/>
                <w:sz w:val="36"/>
                <w:szCs w:val="32"/>
              </w:rPr>
              <w:t>ocument for Fairtrade Stakeholders:</w:t>
            </w:r>
          </w:p>
          <w:p w14:paraId="68B91E63" w14:textId="77777777" w:rsidR="008E5C03" w:rsidRPr="000617F0" w:rsidRDefault="001D390B" w:rsidP="00FE45CA">
            <w:pPr>
              <w:jc w:val="center"/>
            </w:pPr>
            <w:r w:rsidRPr="00FE45CA">
              <w:rPr>
                <w:sz w:val="28"/>
              </w:rPr>
              <w:t>Fairtrade Lime Price &amp; Premium Review</w:t>
            </w:r>
          </w:p>
        </w:tc>
      </w:tr>
      <w:tr w:rsidR="008E5C03" w:rsidRPr="000617F0" w14:paraId="49984F05" w14:textId="77777777" w:rsidTr="003D2AD0">
        <w:tc>
          <w:tcPr>
            <w:tcW w:w="3114" w:type="dxa"/>
            <w:shd w:val="clear" w:color="auto" w:fill="auto"/>
          </w:tcPr>
          <w:p w14:paraId="5C5E7032" w14:textId="77777777" w:rsidR="008E5C03" w:rsidRPr="000617F0" w:rsidRDefault="008E5C03" w:rsidP="009073BA">
            <w:r w:rsidRPr="000617F0">
              <w:t>Consultation Period</w:t>
            </w:r>
          </w:p>
        </w:tc>
        <w:tc>
          <w:tcPr>
            <w:tcW w:w="5886" w:type="dxa"/>
            <w:shd w:val="clear" w:color="auto" w:fill="auto"/>
          </w:tcPr>
          <w:p w14:paraId="2E032467" w14:textId="5C5AF829" w:rsidR="008E5C03" w:rsidRPr="0097157E" w:rsidRDefault="0099610E" w:rsidP="0099610E">
            <w:r w:rsidRPr="006B76F2">
              <w:t>8</w:t>
            </w:r>
            <w:r w:rsidRPr="006B76F2">
              <w:rPr>
                <w:vertAlign w:val="superscript"/>
              </w:rPr>
              <w:t>th</w:t>
            </w:r>
            <w:r w:rsidRPr="006B76F2">
              <w:t xml:space="preserve"> </w:t>
            </w:r>
            <w:r w:rsidR="00543E74" w:rsidRPr="006B76F2">
              <w:t>–</w:t>
            </w:r>
            <w:r w:rsidR="001D390B" w:rsidRPr="006B76F2">
              <w:t xml:space="preserve"> </w:t>
            </w:r>
            <w:r w:rsidR="00440E52" w:rsidRPr="006B76F2">
              <w:t>30</w:t>
            </w:r>
            <w:r w:rsidR="00543E74" w:rsidRPr="006B76F2">
              <w:rPr>
                <w:vertAlign w:val="superscript"/>
              </w:rPr>
              <w:t>th</w:t>
            </w:r>
            <w:r w:rsidR="00543E74" w:rsidRPr="006B76F2">
              <w:t xml:space="preserve"> </w:t>
            </w:r>
            <w:r w:rsidR="00440E52" w:rsidRPr="006B76F2">
              <w:t>September</w:t>
            </w:r>
            <w:r w:rsidR="00543E74" w:rsidRPr="006B76F2">
              <w:t xml:space="preserve"> 2020</w:t>
            </w:r>
          </w:p>
        </w:tc>
      </w:tr>
      <w:tr w:rsidR="008E5C03" w:rsidRPr="000617F0" w14:paraId="51C51770" w14:textId="77777777" w:rsidTr="003D2AD0">
        <w:tc>
          <w:tcPr>
            <w:tcW w:w="3114" w:type="dxa"/>
            <w:shd w:val="clear" w:color="auto" w:fill="auto"/>
          </w:tcPr>
          <w:p w14:paraId="731C5738" w14:textId="77777777" w:rsidR="008E5C03" w:rsidRPr="000617F0" w:rsidRDefault="008E5C03" w:rsidP="009073BA">
            <w:r w:rsidRPr="000617F0">
              <w:t>Project Manager Contact Details</w:t>
            </w:r>
          </w:p>
        </w:tc>
        <w:tc>
          <w:tcPr>
            <w:tcW w:w="5886" w:type="dxa"/>
            <w:shd w:val="clear" w:color="auto" w:fill="auto"/>
          </w:tcPr>
          <w:p w14:paraId="28D456F2" w14:textId="4F06835E" w:rsidR="00BA1588" w:rsidRDefault="00440E52" w:rsidP="009073BA">
            <w:r>
              <w:t>Eduardo Bluhm, Senior Project Manager,</w:t>
            </w:r>
          </w:p>
          <w:p w14:paraId="214AE878" w14:textId="571C1BA1" w:rsidR="00440E52" w:rsidRPr="000617F0" w:rsidRDefault="00706B92" w:rsidP="009073BA">
            <w:hyperlink r:id="rId8" w:history="1">
              <w:r w:rsidR="00440E52" w:rsidRPr="001027B2">
                <w:rPr>
                  <w:rStyle w:val="Hyperlink"/>
                </w:rPr>
                <w:t>e.bluhm@fairtrade.net</w:t>
              </w:r>
            </w:hyperlink>
            <w:r w:rsidR="00440E52">
              <w:t xml:space="preserve">, </w:t>
            </w:r>
            <w:r w:rsidR="00440E52" w:rsidRPr="00440E52">
              <w:t>+49 (0) 228 949 23 265</w:t>
            </w:r>
          </w:p>
        </w:tc>
      </w:tr>
    </w:tbl>
    <w:p w14:paraId="11210758" w14:textId="77777777" w:rsidR="00DA521E" w:rsidRPr="000617F0" w:rsidRDefault="00DA521E">
      <w:pPr>
        <w:pStyle w:val="TOC1"/>
        <w:tabs>
          <w:tab w:val="left" w:pos="1100"/>
          <w:tab w:val="right" w:leader="dot" w:pos="9019"/>
        </w:tabs>
      </w:pPr>
    </w:p>
    <w:p w14:paraId="3B2384C6" w14:textId="77777777" w:rsidR="00DA521E" w:rsidRPr="000617F0" w:rsidRDefault="00C712DE" w:rsidP="00185352">
      <w:pPr>
        <w:pStyle w:val="Heading2"/>
        <w:numPr>
          <w:ilvl w:val="0"/>
          <w:numId w:val="0"/>
        </w:numPr>
        <w:ind w:left="720"/>
      </w:pPr>
      <w:bookmarkStart w:id="0" w:name="_Toc50452849"/>
      <w:r>
        <w:t>Table of contents</w:t>
      </w:r>
      <w:bookmarkEnd w:id="0"/>
    </w:p>
    <w:p w14:paraId="35616267" w14:textId="643D3950" w:rsidR="00956D02" w:rsidRDefault="00DA521E">
      <w:pPr>
        <w:pStyle w:val="TOC2"/>
        <w:tabs>
          <w:tab w:val="right" w:leader="dot" w:pos="9019"/>
        </w:tabs>
        <w:rPr>
          <w:rFonts w:asciiTheme="minorHAnsi" w:eastAsiaTheme="minorEastAsia" w:hAnsiTheme="minorHAnsi" w:cstheme="minorBidi"/>
          <w:noProof/>
          <w:sz w:val="22"/>
          <w:szCs w:val="22"/>
          <w:lang w:val="en-US" w:eastAsia="en-US"/>
        </w:rPr>
      </w:pPr>
      <w:r w:rsidRPr="000617F0">
        <w:fldChar w:fldCharType="begin"/>
      </w:r>
      <w:r w:rsidRPr="000617F0">
        <w:instrText xml:space="preserve"> TOC \o "1-3" \h \z \u </w:instrText>
      </w:r>
      <w:r w:rsidRPr="000617F0">
        <w:fldChar w:fldCharType="separate"/>
      </w:r>
      <w:hyperlink w:anchor="_Toc50452849" w:history="1">
        <w:r w:rsidR="00956D02" w:rsidRPr="008E4E0E">
          <w:rPr>
            <w:rStyle w:val="Hyperlink"/>
            <w:noProof/>
          </w:rPr>
          <w:t>Table of contents</w:t>
        </w:r>
        <w:r w:rsidR="00956D02">
          <w:rPr>
            <w:noProof/>
            <w:webHidden/>
          </w:rPr>
          <w:tab/>
        </w:r>
        <w:r w:rsidR="00956D02">
          <w:rPr>
            <w:noProof/>
            <w:webHidden/>
          </w:rPr>
          <w:fldChar w:fldCharType="begin"/>
        </w:r>
        <w:r w:rsidR="00956D02">
          <w:rPr>
            <w:noProof/>
            <w:webHidden/>
          </w:rPr>
          <w:instrText xml:space="preserve"> PAGEREF _Toc50452849 \h </w:instrText>
        </w:r>
        <w:r w:rsidR="00956D02">
          <w:rPr>
            <w:noProof/>
            <w:webHidden/>
          </w:rPr>
        </w:r>
        <w:r w:rsidR="00956D02">
          <w:rPr>
            <w:noProof/>
            <w:webHidden/>
          </w:rPr>
          <w:fldChar w:fldCharType="separate"/>
        </w:r>
        <w:r w:rsidR="00956D02">
          <w:rPr>
            <w:noProof/>
            <w:webHidden/>
          </w:rPr>
          <w:t>1</w:t>
        </w:r>
        <w:r w:rsidR="00956D02">
          <w:rPr>
            <w:noProof/>
            <w:webHidden/>
          </w:rPr>
          <w:fldChar w:fldCharType="end"/>
        </w:r>
      </w:hyperlink>
    </w:p>
    <w:p w14:paraId="7408D4A5" w14:textId="4CA22B00" w:rsidR="00956D02" w:rsidRDefault="00706B92">
      <w:pPr>
        <w:pStyle w:val="TOC2"/>
        <w:tabs>
          <w:tab w:val="right" w:leader="dot" w:pos="9019"/>
        </w:tabs>
        <w:rPr>
          <w:rFonts w:asciiTheme="minorHAnsi" w:eastAsiaTheme="minorEastAsia" w:hAnsiTheme="minorHAnsi" w:cstheme="minorBidi"/>
          <w:noProof/>
          <w:sz w:val="22"/>
          <w:szCs w:val="22"/>
          <w:lang w:val="en-US" w:eastAsia="en-US"/>
        </w:rPr>
      </w:pPr>
      <w:hyperlink w:anchor="_Toc50452850" w:history="1">
        <w:r w:rsidR="00956D02" w:rsidRPr="008E4E0E">
          <w:rPr>
            <w:rStyle w:val="Hyperlink"/>
            <w:noProof/>
          </w:rPr>
          <w:t>Acronyms</w:t>
        </w:r>
        <w:r w:rsidR="00956D02">
          <w:rPr>
            <w:noProof/>
            <w:webHidden/>
          </w:rPr>
          <w:tab/>
        </w:r>
        <w:r w:rsidR="00956D02">
          <w:rPr>
            <w:noProof/>
            <w:webHidden/>
          </w:rPr>
          <w:fldChar w:fldCharType="begin"/>
        </w:r>
        <w:r w:rsidR="00956D02">
          <w:rPr>
            <w:noProof/>
            <w:webHidden/>
          </w:rPr>
          <w:instrText xml:space="preserve"> PAGEREF _Toc50452850 \h </w:instrText>
        </w:r>
        <w:r w:rsidR="00956D02">
          <w:rPr>
            <w:noProof/>
            <w:webHidden/>
          </w:rPr>
        </w:r>
        <w:r w:rsidR="00956D02">
          <w:rPr>
            <w:noProof/>
            <w:webHidden/>
          </w:rPr>
          <w:fldChar w:fldCharType="separate"/>
        </w:r>
        <w:r w:rsidR="00956D02">
          <w:rPr>
            <w:noProof/>
            <w:webHidden/>
          </w:rPr>
          <w:t>2</w:t>
        </w:r>
        <w:r w:rsidR="00956D02">
          <w:rPr>
            <w:noProof/>
            <w:webHidden/>
          </w:rPr>
          <w:fldChar w:fldCharType="end"/>
        </w:r>
      </w:hyperlink>
    </w:p>
    <w:p w14:paraId="11D2A5DF" w14:textId="7E018030" w:rsidR="00956D02" w:rsidRDefault="00706B92">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50452851" w:history="1">
        <w:r w:rsidR="00956D02" w:rsidRPr="008E4E0E">
          <w:rPr>
            <w:rStyle w:val="Hyperlink"/>
            <w:noProof/>
          </w:rPr>
          <w:t>PART 1.</w:t>
        </w:r>
        <w:r w:rsidR="00956D02">
          <w:rPr>
            <w:rFonts w:asciiTheme="minorHAnsi" w:eastAsiaTheme="minorEastAsia" w:hAnsiTheme="minorHAnsi" w:cstheme="minorBidi"/>
            <w:noProof/>
            <w:sz w:val="22"/>
            <w:szCs w:val="22"/>
            <w:lang w:val="en-US" w:eastAsia="en-US"/>
          </w:rPr>
          <w:tab/>
        </w:r>
        <w:r w:rsidR="00956D02" w:rsidRPr="008E4E0E">
          <w:rPr>
            <w:rStyle w:val="Hyperlink"/>
            <w:noProof/>
          </w:rPr>
          <w:t>Introduction to the project</w:t>
        </w:r>
        <w:r w:rsidR="00956D02">
          <w:rPr>
            <w:noProof/>
            <w:webHidden/>
          </w:rPr>
          <w:tab/>
        </w:r>
        <w:r w:rsidR="00956D02">
          <w:rPr>
            <w:noProof/>
            <w:webHidden/>
          </w:rPr>
          <w:fldChar w:fldCharType="begin"/>
        </w:r>
        <w:r w:rsidR="00956D02">
          <w:rPr>
            <w:noProof/>
            <w:webHidden/>
          </w:rPr>
          <w:instrText xml:space="preserve"> PAGEREF _Toc50452851 \h </w:instrText>
        </w:r>
        <w:r w:rsidR="00956D02">
          <w:rPr>
            <w:noProof/>
            <w:webHidden/>
          </w:rPr>
        </w:r>
        <w:r w:rsidR="00956D02">
          <w:rPr>
            <w:noProof/>
            <w:webHidden/>
          </w:rPr>
          <w:fldChar w:fldCharType="separate"/>
        </w:r>
        <w:r w:rsidR="00956D02">
          <w:rPr>
            <w:noProof/>
            <w:webHidden/>
          </w:rPr>
          <w:t>3</w:t>
        </w:r>
        <w:r w:rsidR="00956D02">
          <w:rPr>
            <w:noProof/>
            <w:webHidden/>
          </w:rPr>
          <w:fldChar w:fldCharType="end"/>
        </w:r>
      </w:hyperlink>
    </w:p>
    <w:p w14:paraId="59320D17" w14:textId="0A3812F8" w:rsidR="00956D02" w:rsidRDefault="00706B92">
      <w:pPr>
        <w:pStyle w:val="TOC3"/>
        <w:tabs>
          <w:tab w:val="right" w:leader="dot" w:pos="9019"/>
        </w:tabs>
        <w:rPr>
          <w:rFonts w:asciiTheme="minorHAnsi" w:eastAsiaTheme="minorEastAsia" w:hAnsiTheme="minorHAnsi" w:cstheme="minorBidi"/>
          <w:noProof/>
          <w:sz w:val="22"/>
          <w:szCs w:val="22"/>
          <w:lang w:val="en-US" w:eastAsia="en-US"/>
        </w:rPr>
      </w:pPr>
      <w:hyperlink w:anchor="_Toc50452852" w:history="1">
        <w:r w:rsidR="00956D02" w:rsidRPr="008E4E0E">
          <w:rPr>
            <w:rStyle w:val="Hyperlink"/>
            <w:noProof/>
          </w:rPr>
          <w:t>Status of the project</w:t>
        </w:r>
        <w:r w:rsidR="00956D02">
          <w:rPr>
            <w:noProof/>
            <w:webHidden/>
          </w:rPr>
          <w:tab/>
        </w:r>
        <w:r w:rsidR="00956D02">
          <w:rPr>
            <w:noProof/>
            <w:webHidden/>
          </w:rPr>
          <w:fldChar w:fldCharType="begin"/>
        </w:r>
        <w:r w:rsidR="00956D02">
          <w:rPr>
            <w:noProof/>
            <w:webHidden/>
          </w:rPr>
          <w:instrText xml:space="preserve"> PAGEREF _Toc50452852 \h </w:instrText>
        </w:r>
        <w:r w:rsidR="00956D02">
          <w:rPr>
            <w:noProof/>
            <w:webHidden/>
          </w:rPr>
        </w:r>
        <w:r w:rsidR="00956D02">
          <w:rPr>
            <w:noProof/>
            <w:webHidden/>
          </w:rPr>
          <w:fldChar w:fldCharType="separate"/>
        </w:r>
        <w:r w:rsidR="00956D02">
          <w:rPr>
            <w:noProof/>
            <w:webHidden/>
          </w:rPr>
          <w:t>3</w:t>
        </w:r>
        <w:r w:rsidR="00956D02">
          <w:rPr>
            <w:noProof/>
            <w:webHidden/>
          </w:rPr>
          <w:fldChar w:fldCharType="end"/>
        </w:r>
      </w:hyperlink>
    </w:p>
    <w:p w14:paraId="702D0438" w14:textId="66C15656" w:rsidR="00956D02" w:rsidRDefault="00706B92">
      <w:pPr>
        <w:pStyle w:val="TOC3"/>
        <w:tabs>
          <w:tab w:val="right" w:leader="dot" w:pos="9019"/>
        </w:tabs>
        <w:rPr>
          <w:rFonts w:asciiTheme="minorHAnsi" w:eastAsiaTheme="minorEastAsia" w:hAnsiTheme="minorHAnsi" w:cstheme="minorBidi"/>
          <w:noProof/>
          <w:sz w:val="22"/>
          <w:szCs w:val="22"/>
          <w:lang w:val="en-US" w:eastAsia="en-US"/>
        </w:rPr>
      </w:pPr>
      <w:hyperlink w:anchor="_Toc50452853" w:history="1">
        <w:r w:rsidR="00956D02" w:rsidRPr="008E4E0E">
          <w:rPr>
            <w:rStyle w:val="Hyperlink"/>
            <w:noProof/>
          </w:rPr>
          <w:t>Next steps</w:t>
        </w:r>
        <w:r w:rsidR="00956D02">
          <w:rPr>
            <w:noProof/>
            <w:webHidden/>
          </w:rPr>
          <w:tab/>
        </w:r>
        <w:r w:rsidR="00956D02">
          <w:rPr>
            <w:noProof/>
            <w:webHidden/>
          </w:rPr>
          <w:fldChar w:fldCharType="begin"/>
        </w:r>
        <w:r w:rsidR="00956D02">
          <w:rPr>
            <w:noProof/>
            <w:webHidden/>
          </w:rPr>
          <w:instrText xml:space="preserve"> PAGEREF _Toc50452853 \h </w:instrText>
        </w:r>
        <w:r w:rsidR="00956D02">
          <w:rPr>
            <w:noProof/>
            <w:webHidden/>
          </w:rPr>
        </w:r>
        <w:r w:rsidR="00956D02">
          <w:rPr>
            <w:noProof/>
            <w:webHidden/>
          </w:rPr>
          <w:fldChar w:fldCharType="separate"/>
        </w:r>
        <w:r w:rsidR="00956D02">
          <w:rPr>
            <w:noProof/>
            <w:webHidden/>
          </w:rPr>
          <w:t>4</w:t>
        </w:r>
        <w:r w:rsidR="00956D02">
          <w:rPr>
            <w:noProof/>
            <w:webHidden/>
          </w:rPr>
          <w:fldChar w:fldCharType="end"/>
        </w:r>
      </w:hyperlink>
    </w:p>
    <w:p w14:paraId="0A07C285" w14:textId="24EE9EBF" w:rsidR="00956D02" w:rsidRDefault="00706B92">
      <w:pPr>
        <w:pStyle w:val="TOC3"/>
        <w:tabs>
          <w:tab w:val="right" w:leader="dot" w:pos="9019"/>
        </w:tabs>
        <w:rPr>
          <w:rFonts w:asciiTheme="minorHAnsi" w:eastAsiaTheme="minorEastAsia" w:hAnsiTheme="minorHAnsi" w:cstheme="minorBidi"/>
          <w:noProof/>
          <w:sz w:val="22"/>
          <w:szCs w:val="22"/>
          <w:lang w:val="en-US" w:eastAsia="en-US"/>
        </w:rPr>
      </w:pPr>
      <w:hyperlink w:anchor="_Toc50452854" w:history="1">
        <w:r w:rsidR="00956D02" w:rsidRPr="008E4E0E">
          <w:rPr>
            <w:rStyle w:val="Hyperlink"/>
            <w:noProof/>
          </w:rPr>
          <w:t>Product and revision scope</w:t>
        </w:r>
        <w:r w:rsidR="00956D02">
          <w:rPr>
            <w:noProof/>
            <w:webHidden/>
          </w:rPr>
          <w:tab/>
        </w:r>
        <w:r w:rsidR="00956D02">
          <w:rPr>
            <w:noProof/>
            <w:webHidden/>
          </w:rPr>
          <w:fldChar w:fldCharType="begin"/>
        </w:r>
        <w:r w:rsidR="00956D02">
          <w:rPr>
            <w:noProof/>
            <w:webHidden/>
          </w:rPr>
          <w:instrText xml:space="preserve"> PAGEREF _Toc50452854 \h </w:instrText>
        </w:r>
        <w:r w:rsidR="00956D02">
          <w:rPr>
            <w:noProof/>
            <w:webHidden/>
          </w:rPr>
        </w:r>
        <w:r w:rsidR="00956D02">
          <w:rPr>
            <w:noProof/>
            <w:webHidden/>
          </w:rPr>
          <w:fldChar w:fldCharType="separate"/>
        </w:r>
        <w:r w:rsidR="00956D02">
          <w:rPr>
            <w:noProof/>
            <w:webHidden/>
          </w:rPr>
          <w:t>4</w:t>
        </w:r>
        <w:r w:rsidR="00956D02">
          <w:rPr>
            <w:noProof/>
            <w:webHidden/>
          </w:rPr>
          <w:fldChar w:fldCharType="end"/>
        </w:r>
      </w:hyperlink>
    </w:p>
    <w:p w14:paraId="66BE2AA0" w14:textId="02FD70D9" w:rsidR="00956D02" w:rsidRDefault="00706B92">
      <w:pPr>
        <w:pStyle w:val="TOC3"/>
        <w:tabs>
          <w:tab w:val="right" w:leader="dot" w:pos="9019"/>
        </w:tabs>
        <w:rPr>
          <w:rFonts w:asciiTheme="minorHAnsi" w:eastAsiaTheme="minorEastAsia" w:hAnsiTheme="minorHAnsi" w:cstheme="minorBidi"/>
          <w:noProof/>
          <w:sz w:val="22"/>
          <w:szCs w:val="22"/>
          <w:lang w:val="en-US" w:eastAsia="en-US"/>
        </w:rPr>
      </w:pPr>
      <w:hyperlink w:anchor="_Toc50452855" w:history="1">
        <w:r w:rsidR="00956D02" w:rsidRPr="008E4E0E">
          <w:rPr>
            <w:rStyle w:val="Hyperlink"/>
            <w:noProof/>
          </w:rPr>
          <w:t>This consultation</w:t>
        </w:r>
        <w:r w:rsidR="00956D02">
          <w:rPr>
            <w:noProof/>
            <w:webHidden/>
          </w:rPr>
          <w:tab/>
        </w:r>
        <w:r w:rsidR="00956D02">
          <w:rPr>
            <w:noProof/>
            <w:webHidden/>
          </w:rPr>
          <w:fldChar w:fldCharType="begin"/>
        </w:r>
        <w:r w:rsidR="00956D02">
          <w:rPr>
            <w:noProof/>
            <w:webHidden/>
          </w:rPr>
          <w:instrText xml:space="preserve"> PAGEREF _Toc50452855 \h </w:instrText>
        </w:r>
        <w:r w:rsidR="00956D02">
          <w:rPr>
            <w:noProof/>
            <w:webHidden/>
          </w:rPr>
        </w:r>
        <w:r w:rsidR="00956D02">
          <w:rPr>
            <w:noProof/>
            <w:webHidden/>
          </w:rPr>
          <w:fldChar w:fldCharType="separate"/>
        </w:r>
        <w:r w:rsidR="00956D02">
          <w:rPr>
            <w:noProof/>
            <w:webHidden/>
          </w:rPr>
          <w:t>4</w:t>
        </w:r>
        <w:r w:rsidR="00956D02">
          <w:rPr>
            <w:noProof/>
            <w:webHidden/>
          </w:rPr>
          <w:fldChar w:fldCharType="end"/>
        </w:r>
      </w:hyperlink>
    </w:p>
    <w:p w14:paraId="287632D0" w14:textId="27DED80F" w:rsidR="00956D02" w:rsidRDefault="00706B92">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50452856" w:history="1">
        <w:r w:rsidR="00956D02" w:rsidRPr="008E4E0E">
          <w:rPr>
            <w:rStyle w:val="Hyperlink"/>
            <w:noProof/>
          </w:rPr>
          <w:t>PART 2.</w:t>
        </w:r>
        <w:r w:rsidR="00956D02">
          <w:rPr>
            <w:rFonts w:asciiTheme="minorHAnsi" w:eastAsiaTheme="minorEastAsia" w:hAnsiTheme="minorHAnsi" w:cstheme="minorBidi"/>
            <w:noProof/>
            <w:sz w:val="22"/>
            <w:szCs w:val="22"/>
            <w:lang w:val="en-US" w:eastAsia="en-US"/>
          </w:rPr>
          <w:tab/>
        </w:r>
        <w:r w:rsidR="00956D02" w:rsidRPr="008E4E0E">
          <w:rPr>
            <w:rStyle w:val="Hyperlink"/>
            <w:noProof/>
          </w:rPr>
          <w:t>Consultation</w:t>
        </w:r>
        <w:r w:rsidR="00956D02">
          <w:rPr>
            <w:noProof/>
            <w:webHidden/>
          </w:rPr>
          <w:tab/>
        </w:r>
        <w:r w:rsidR="00956D02">
          <w:rPr>
            <w:noProof/>
            <w:webHidden/>
          </w:rPr>
          <w:fldChar w:fldCharType="begin"/>
        </w:r>
        <w:r w:rsidR="00956D02">
          <w:rPr>
            <w:noProof/>
            <w:webHidden/>
          </w:rPr>
          <w:instrText xml:space="preserve"> PAGEREF _Toc50452856 \h </w:instrText>
        </w:r>
        <w:r w:rsidR="00956D02">
          <w:rPr>
            <w:noProof/>
            <w:webHidden/>
          </w:rPr>
        </w:r>
        <w:r w:rsidR="00956D02">
          <w:rPr>
            <w:noProof/>
            <w:webHidden/>
          </w:rPr>
          <w:fldChar w:fldCharType="separate"/>
        </w:r>
        <w:r w:rsidR="00956D02">
          <w:rPr>
            <w:noProof/>
            <w:webHidden/>
          </w:rPr>
          <w:t>5</w:t>
        </w:r>
        <w:r w:rsidR="00956D02">
          <w:rPr>
            <w:noProof/>
            <w:webHidden/>
          </w:rPr>
          <w:fldChar w:fldCharType="end"/>
        </w:r>
      </w:hyperlink>
    </w:p>
    <w:p w14:paraId="5988249C" w14:textId="11F62B84" w:rsidR="00956D02" w:rsidRDefault="00706B92">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50452857" w:history="1">
        <w:r w:rsidR="00956D02" w:rsidRPr="008E4E0E">
          <w:rPr>
            <w:rStyle w:val="Hyperlink"/>
            <w:noProof/>
          </w:rPr>
          <w:t>2.1.</w:t>
        </w:r>
        <w:r w:rsidR="00956D02">
          <w:rPr>
            <w:rFonts w:asciiTheme="minorHAnsi" w:eastAsiaTheme="minorEastAsia" w:hAnsiTheme="minorHAnsi" w:cstheme="minorBidi"/>
            <w:noProof/>
            <w:sz w:val="22"/>
            <w:szCs w:val="22"/>
            <w:lang w:val="en-US" w:eastAsia="en-US"/>
          </w:rPr>
          <w:tab/>
        </w:r>
        <w:r w:rsidR="00956D02" w:rsidRPr="008E4E0E">
          <w:rPr>
            <w:rStyle w:val="Hyperlink"/>
            <w:noProof/>
          </w:rPr>
          <w:t>General Information</w:t>
        </w:r>
        <w:r w:rsidR="00956D02">
          <w:rPr>
            <w:noProof/>
            <w:webHidden/>
          </w:rPr>
          <w:tab/>
        </w:r>
        <w:r w:rsidR="00956D02">
          <w:rPr>
            <w:noProof/>
            <w:webHidden/>
          </w:rPr>
          <w:fldChar w:fldCharType="begin"/>
        </w:r>
        <w:r w:rsidR="00956D02">
          <w:rPr>
            <w:noProof/>
            <w:webHidden/>
          </w:rPr>
          <w:instrText xml:space="preserve"> PAGEREF _Toc50452857 \h </w:instrText>
        </w:r>
        <w:r w:rsidR="00956D02">
          <w:rPr>
            <w:noProof/>
            <w:webHidden/>
          </w:rPr>
        </w:r>
        <w:r w:rsidR="00956D02">
          <w:rPr>
            <w:noProof/>
            <w:webHidden/>
          </w:rPr>
          <w:fldChar w:fldCharType="separate"/>
        </w:r>
        <w:r w:rsidR="00956D02">
          <w:rPr>
            <w:noProof/>
            <w:webHidden/>
          </w:rPr>
          <w:t>5</w:t>
        </w:r>
        <w:r w:rsidR="00956D02">
          <w:rPr>
            <w:noProof/>
            <w:webHidden/>
          </w:rPr>
          <w:fldChar w:fldCharType="end"/>
        </w:r>
      </w:hyperlink>
    </w:p>
    <w:p w14:paraId="56F166B6" w14:textId="72DC2C7A" w:rsidR="00956D02" w:rsidRDefault="00706B92">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50452858" w:history="1">
        <w:r w:rsidR="00956D02" w:rsidRPr="008E4E0E">
          <w:rPr>
            <w:rStyle w:val="Hyperlink"/>
            <w:noProof/>
          </w:rPr>
          <w:t>2.2.</w:t>
        </w:r>
        <w:r w:rsidR="00956D02">
          <w:rPr>
            <w:rFonts w:asciiTheme="minorHAnsi" w:eastAsiaTheme="minorEastAsia" w:hAnsiTheme="minorHAnsi" w:cstheme="minorBidi"/>
            <w:noProof/>
            <w:sz w:val="22"/>
            <w:szCs w:val="22"/>
            <w:lang w:val="en-US" w:eastAsia="en-US"/>
          </w:rPr>
          <w:tab/>
        </w:r>
        <w:r w:rsidR="00956D02" w:rsidRPr="008E4E0E">
          <w:rPr>
            <w:rStyle w:val="Hyperlink"/>
            <w:noProof/>
          </w:rPr>
          <w:t>Proposals for updating the FMP and FP for limes</w:t>
        </w:r>
        <w:r w:rsidR="00956D02">
          <w:rPr>
            <w:noProof/>
            <w:webHidden/>
          </w:rPr>
          <w:tab/>
        </w:r>
        <w:r w:rsidR="00956D02">
          <w:rPr>
            <w:noProof/>
            <w:webHidden/>
          </w:rPr>
          <w:fldChar w:fldCharType="begin"/>
        </w:r>
        <w:r w:rsidR="00956D02">
          <w:rPr>
            <w:noProof/>
            <w:webHidden/>
          </w:rPr>
          <w:instrText xml:space="preserve"> PAGEREF _Toc50452858 \h </w:instrText>
        </w:r>
        <w:r w:rsidR="00956D02">
          <w:rPr>
            <w:noProof/>
            <w:webHidden/>
          </w:rPr>
        </w:r>
        <w:r w:rsidR="00956D02">
          <w:rPr>
            <w:noProof/>
            <w:webHidden/>
          </w:rPr>
          <w:fldChar w:fldCharType="separate"/>
        </w:r>
        <w:r w:rsidR="00956D02">
          <w:rPr>
            <w:noProof/>
            <w:webHidden/>
          </w:rPr>
          <w:t>6</w:t>
        </w:r>
        <w:r w:rsidR="00956D02">
          <w:rPr>
            <w:noProof/>
            <w:webHidden/>
          </w:rPr>
          <w:fldChar w:fldCharType="end"/>
        </w:r>
      </w:hyperlink>
    </w:p>
    <w:p w14:paraId="05FE3F7E" w14:textId="52A63252" w:rsidR="00956D02" w:rsidRDefault="00706B92">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50452859" w:history="1">
        <w:r w:rsidR="00956D02" w:rsidRPr="008E4E0E">
          <w:rPr>
            <w:rStyle w:val="Hyperlink"/>
            <w:noProof/>
          </w:rPr>
          <w:t>2.3.</w:t>
        </w:r>
        <w:r w:rsidR="00956D02">
          <w:rPr>
            <w:rFonts w:asciiTheme="minorHAnsi" w:eastAsiaTheme="minorEastAsia" w:hAnsiTheme="minorHAnsi" w:cstheme="minorBidi"/>
            <w:noProof/>
            <w:sz w:val="22"/>
            <w:szCs w:val="22"/>
            <w:lang w:val="en-US" w:eastAsia="en-US"/>
          </w:rPr>
          <w:tab/>
        </w:r>
        <w:r w:rsidR="00956D02" w:rsidRPr="008E4E0E">
          <w:rPr>
            <w:rStyle w:val="Hyperlink"/>
            <w:noProof/>
          </w:rPr>
          <w:t>Other questions</w:t>
        </w:r>
        <w:r w:rsidR="00956D02">
          <w:rPr>
            <w:noProof/>
            <w:webHidden/>
          </w:rPr>
          <w:tab/>
        </w:r>
        <w:r w:rsidR="00956D02">
          <w:rPr>
            <w:noProof/>
            <w:webHidden/>
          </w:rPr>
          <w:fldChar w:fldCharType="begin"/>
        </w:r>
        <w:r w:rsidR="00956D02">
          <w:rPr>
            <w:noProof/>
            <w:webHidden/>
          </w:rPr>
          <w:instrText xml:space="preserve"> PAGEREF _Toc50452859 \h </w:instrText>
        </w:r>
        <w:r w:rsidR="00956D02">
          <w:rPr>
            <w:noProof/>
            <w:webHidden/>
          </w:rPr>
        </w:r>
        <w:r w:rsidR="00956D02">
          <w:rPr>
            <w:noProof/>
            <w:webHidden/>
          </w:rPr>
          <w:fldChar w:fldCharType="separate"/>
        </w:r>
        <w:r w:rsidR="00956D02">
          <w:rPr>
            <w:noProof/>
            <w:webHidden/>
          </w:rPr>
          <w:t>10</w:t>
        </w:r>
        <w:r w:rsidR="00956D02">
          <w:rPr>
            <w:noProof/>
            <w:webHidden/>
          </w:rPr>
          <w:fldChar w:fldCharType="end"/>
        </w:r>
      </w:hyperlink>
    </w:p>
    <w:p w14:paraId="05D6836B" w14:textId="123F51FE" w:rsidR="00956D02" w:rsidRDefault="00706B92">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50452860" w:history="1">
        <w:r w:rsidR="00956D02" w:rsidRPr="008E4E0E">
          <w:rPr>
            <w:rStyle w:val="Hyperlink"/>
            <w:noProof/>
          </w:rPr>
          <w:t>PART 3.</w:t>
        </w:r>
        <w:r w:rsidR="00956D02">
          <w:rPr>
            <w:rFonts w:asciiTheme="minorHAnsi" w:eastAsiaTheme="minorEastAsia" w:hAnsiTheme="minorHAnsi" w:cstheme="minorBidi"/>
            <w:noProof/>
            <w:sz w:val="22"/>
            <w:szCs w:val="22"/>
            <w:lang w:val="en-US" w:eastAsia="en-US"/>
          </w:rPr>
          <w:tab/>
        </w:r>
        <w:r w:rsidR="00956D02" w:rsidRPr="008E4E0E">
          <w:rPr>
            <w:rStyle w:val="Hyperlink"/>
            <w:noProof/>
          </w:rPr>
          <w:t>Annex</w:t>
        </w:r>
        <w:r w:rsidR="00956D02">
          <w:rPr>
            <w:noProof/>
            <w:webHidden/>
          </w:rPr>
          <w:tab/>
        </w:r>
        <w:r w:rsidR="00956D02">
          <w:rPr>
            <w:noProof/>
            <w:webHidden/>
          </w:rPr>
          <w:fldChar w:fldCharType="begin"/>
        </w:r>
        <w:r w:rsidR="00956D02">
          <w:rPr>
            <w:noProof/>
            <w:webHidden/>
          </w:rPr>
          <w:instrText xml:space="preserve"> PAGEREF _Toc50452860 \h </w:instrText>
        </w:r>
        <w:r w:rsidR="00956D02">
          <w:rPr>
            <w:noProof/>
            <w:webHidden/>
          </w:rPr>
        </w:r>
        <w:r w:rsidR="00956D02">
          <w:rPr>
            <w:noProof/>
            <w:webHidden/>
          </w:rPr>
          <w:fldChar w:fldCharType="separate"/>
        </w:r>
        <w:r w:rsidR="00956D02">
          <w:rPr>
            <w:noProof/>
            <w:webHidden/>
          </w:rPr>
          <w:t>11</w:t>
        </w:r>
        <w:r w:rsidR="00956D02">
          <w:rPr>
            <w:noProof/>
            <w:webHidden/>
          </w:rPr>
          <w:fldChar w:fldCharType="end"/>
        </w:r>
      </w:hyperlink>
    </w:p>
    <w:p w14:paraId="1125F3E7" w14:textId="13441189" w:rsidR="001D390B" w:rsidRDefault="00DA521E" w:rsidP="00702EC1">
      <w:r w:rsidRPr="000617F0">
        <w:fldChar w:fldCharType="end"/>
      </w:r>
    </w:p>
    <w:p w14:paraId="780AA14F" w14:textId="77777777" w:rsidR="001D390B" w:rsidRDefault="001D390B" w:rsidP="00702EC1"/>
    <w:p w14:paraId="4ADB3CF9" w14:textId="77777777" w:rsidR="00702EC1" w:rsidRDefault="00702EC1" w:rsidP="00702EC1">
      <w:r w:rsidRPr="000617F0">
        <w:br w:type="page"/>
      </w:r>
    </w:p>
    <w:p w14:paraId="57BEFE3D" w14:textId="77777777" w:rsidR="00C712DE" w:rsidRPr="00071B68" w:rsidRDefault="00C712DE" w:rsidP="00185352">
      <w:pPr>
        <w:pStyle w:val="Heading2"/>
        <w:numPr>
          <w:ilvl w:val="0"/>
          <w:numId w:val="0"/>
        </w:numPr>
        <w:ind w:left="720"/>
      </w:pPr>
      <w:bookmarkStart w:id="1" w:name="_Toc50452850"/>
      <w:r w:rsidRPr="00071B68">
        <w:lastRenderedPageBreak/>
        <w:t>Acronyms</w:t>
      </w:r>
      <w:bookmarkEnd w:id="1"/>
      <w:r w:rsidRPr="00071B68">
        <w:t xml:space="preserve"> </w:t>
      </w:r>
    </w:p>
    <w:p w14:paraId="7F901FFB" w14:textId="42D568CC" w:rsidR="00956D02" w:rsidRPr="00A35B5F" w:rsidRDefault="00956D02" w:rsidP="00956D02">
      <w:pPr>
        <w:spacing w:before="0" w:after="0" w:line="240" w:lineRule="auto"/>
        <w:ind w:left="1418" w:hanging="1418"/>
        <w:rPr>
          <w:lang w:val="es-ES_tradnl"/>
        </w:rPr>
      </w:pPr>
      <w:r w:rsidRPr="00A35B5F">
        <w:rPr>
          <w:lang w:val="es-ES_tradnl"/>
        </w:rPr>
        <w:t>CLAC</w:t>
      </w:r>
      <w:r w:rsidRPr="00A35B5F">
        <w:rPr>
          <w:lang w:val="es-ES_tradnl"/>
        </w:rPr>
        <w:tab/>
        <w:t>Coordinadora Latino</w:t>
      </w:r>
      <w:r>
        <w:rPr>
          <w:lang w:val="es-ES_tradnl"/>
        </w:rPr>
        <w:t>america</w:t>
      </w:r>
      <w:r w:rsidRPr="00A35B5F">
        <w:rPr>
          <w:lang w:val="es-ES_tradnl"/>
        </w:rPr>
        <w:t>na de Productores de Comercio Justo</w:t>
      </w:r>
    </w:p>
    <w:p w14:paraId="552C4592" w14:textId="5C37654B" w:rsidR="00C712DE" w:rsidRPr="00071B68" w:rsidRDefault="00956D02" w:rsidP="00FE45CA">
      <w:pPr>
        <w:shd w:val="clear" w:color="auto" w:fill="FFFFFF"/>
        <w:spacing w:before="0" w:after="0" w:line="240" w:lineRule="auto"/>
        <w:ind w:left="1418" w:hanging="1418"/>
      </w:pPr>
      <w:r>
        <w:t>COSP</w:t>
      </w:r>
      <w:r w:rsidR="00C712DE" w:rsidRPr="00071B68">
        <w:tab/>
      </w:r>
      <w:r w:rsidR="00C712DE" w:rsidRPr="00071B68">
        <w:rPr>
          <w:b/>
        </w:rPr>
        <w:t>Cost of Sustainable Production</w:t>
      </w:r>
      <w:r w:rsidR="00C712DE" w:rsidRPr="00071B68">
        <w:t xml:space="preserve"> are the costs related to sustainably produce a product in a social, economic and environmental way in conformity with Fairtrade Standards.</w:t>
      </w:r>
    </w:p>
    <w:p w14:paraId="1E75E2F5" w14:textId="77777777" w:rsidR="00C712DE" w:rsidRPr="00071B68" w:rsidRDefault="00C712DE" w:rsidP="00FE45CA">
      <w:pPr>
        <w:shd w:val="clear" w:color="auto" w:fill="FFFFFF"/>
        <w:spacing w:before="0" w:after="0" w:line="240" w:lineRule="auto"/>
        <w:ind w:left="1418" w:hanging="1418"/>
      </w:pPr>
      <w:r w:rsidRPr="00071B68">
        <w:t>EXW</w:t>
      </w:r>
      <w:r w:rsidRPr="00071B68">
        <w:tab/>
      </w:r>
      <w:r w:rsidRPr="00071B68">
        <w:rPr>
          <w:b/>
          <w:bCs/>
        </w:rPr>
        <w:t xml:space="preserve">Ex Works </w:t>
      </w:r>
      <w:r w:rsidRPr="00071B68">
        <w:t>means that delivery takes place when the seller places the goods at the disposal of the buyer at the premises of the seller or another named place (works, factory, warehouse, etc.) not cleared for export and not loaded on any collecting vehicle</w:t>
      </w:r>
    </w:p>
    <w:p w14:paraId="2B90A094" w14:textId="0B77C2DC" w:rsidR="00C712DE" w:rsidRPr="00071B68" w:rsidRDefault="00956D02" w:rsidP="00FE45CA">
      <w:pPr>
        <w:shd w:val="clear" w:color="auto" w:fill="FFFFFF"/>
        <w:spacing w:before="0" w:after="0" w:line="240" w:lineRule="auto"/>
        <w:ind w:left="1418" w:hanging="1418"/>
      </w:pPr>
      <w:r>
        <w:t>FMP</w:t>
      </w:r>
      <w:r w:rsidR="00C712DE" w:rsidRPr="00071B68">
        <w:tab/>
      </w:r>
      <w:r w:rsidR="00C712DE" w:rsidRPr="00071B68">
        <w:rPr>
          <w:b/>
        </w:rPr>
        <w:t>Fairtrade Minimum Price</w:t>
      </w:r>
      <w:r w:rsidR="00C712DE" w:rsidRPr="00071B68">
        <w:t xml:space="preserve"> is the lowest possible price that may be paid by buyers to producers for a product to become certified against the Fairtrade standards.</w:t>
      </w:r>
    </w:p>
    <w:p w14:paraId="666D23DB" w14:textId="36F57A2C" w:rsidR="00C712DE" w:rsidRPr="00071B68" w:rsidRDefault="00956D02" w:rsidP="00FE45CA">
      <w:pPr>
        <w:shd w:val="clear" w:color="auto" w:fill="FFFFFF"/>
        <w:spacing w:before="0" w:after="0" w:line="240" w:lineRule="auto"/>
        <w:ind w:left="1418" w:hanging="1418"/>
      </w:pPr>
      <w:r>
        <w:t>FP</w:t>
      </w:r>
      <w:r w:rsidR="00C712DE" w:rsidRPr="00071B68">
        <w:tab/>
      </w:r>
      <w:r w:rsidR="00C712DE" w:rsidRPr="00071B68">
        <w:rPr>
          <w:b/>
        </w:rPr>
        <w:t>Fairtrade Premium</w:t>
      </w:r>
      <w:r w:rsidR="00C712DE" w:rsidRPr="00071B68">
        <w:t xml:space="preserve"> is an amount paid to producers in addition to the payment for their products. The Fairtrade Premium is intended for investment in the producers’ business and community (for a small farmers’ organization or contract production set-up) or for the socioeconomic development of the workers and their community (for a hired labour situation).</w:t>
      </w:r>
    </w:p>
    <w:p w14:paraId="04057D73" w14:textId="77777777" w:rsidR="00C712DE" w:rsidRPr="00071B68" w:rsidRDefault="00C712DE" w:rsidP="00FE45CA">
      <w:pPr>
        <w:shd w:val="clear" w:color="auto" w:fill="FFFFFF"/>
        <w:spacing w:before="0" w:after="0" w:line="240" w:lineRule="auto"/>
        <w:ind w:left="1418" w:hanging="1418"/>
      </w:pPr>
      <w:r w:rsidRPr="00071B68">
        <w:t>FOB</w:t>
      </w:r>
      <w:r w:rsidRPr="00071B68">
        <w:tab/>
      </w:r>
      <w:r w:rsidRPr="00071B68">
        <w:rPr>
          <w:b/>
          <w:bCs/>
        </w:rPr>
        <w:t xml:space="preserve">Free on Board </w:t>
      </w:r>
      <w:r w:rsidRPr="00071B68">
        <w:t>means that the seller delivers when the goods pass the ship’s rail at the named port of shipment. From that point forward, the buyer has to bear all costs and risks of loss or damage to the goods. Under FOB terms, the seller is required to clear the goods for export.</w:t>
      </w:r>
    </w:p>
    <w:p w14:paraId="61AA660A" w14:textId="4F2BC637" w:rsidR="00C712DE" w:rsidRPr="00071B68" w:rsidRDefault="00956D02" w:rsidP="00FE45CA">
      <w:pPr>
        <w:shd w:val="clear" w:color="auto" w:fill="FFFFFF"/>
        <w:spacing w:before="0" w:after="0" w:line="240" w:lineRule="auto"/>
        <w:ind w:left="1418" w:hanging="1418"/>
      </w:pPr>
      <w:r>
        <w:t>NAPP</w:t>
      </w:r>
      <w:r w:rsidR="00C712DE" w:rsidRPr="00071B68">
        <w:tab/>
        <w:t xml:space="preserve">Fairtrade </w:t>
      </w:r>
      <w:r w:rsidR="00C712DE" w:rsidRPr="00071B68">
        <w:rPr>
          <w:b/>
        </w:rPr>
        <w:t>Network of Asia &amp; Pacific Producers</w:t>
      </w:r>
    </w:p>
    <w:p w14:paraId="61196F7D" w14:textId="4D2E8000" w:rsidR="00C712DE" w:rsidRPr="00071B68" w:rsidRDefault="00956D02" w:rsidP="00FE45CA">
      <w:pPr>
        <w:shd w:val="clear" w:color="auto" w:fill="FFFFFF"/>
        <w:spacing w:before="0" w:after="0" w:line="240" w:lineRule="auto"/>
        <w:ind w:left="1418" w:hanging="1418"/>
      </w:pPr>
      <w:r>
        <w:t>NFO</w:t>
      </w:r>
      <w:r w:rsidR="00C712DE" w:rsidRPr="00071B68">
        <w:tab/>
      </w:r>
      <w:r w:rsidR="00C712DE" w:rsidRPr="00071B68">
        <w:rPr>
          <w:b/>
        </w:rPr>
        <w:t>National Fairtrade Organization</w:t>
      </w:r>
      <w:r w:rsidR="00C712DE" w:rsidRPr="00071B68">
        <w:t>, Fairtrade country organizations in the consumer markets</w:t>
      </w:r>
    </w:p>
    <w:p w14:paraId="27D6F0CB" w14:textId="5435DD10" w:rsidR="00C712DE" w:rsidRDefault="00C712DE" w:rsidP="00FE45CA">
      <w:pPr>
        <w:shd w:val="clear" w:color="auto" w:fill="FFFFFF"/>
        <w:spacing w:before="0" w:after="0" w:line="240" w:lineRule="auto"/>
        <w:ind w:left="1418" w:hanging="1418"/>
        <w:rPr>
          <w:b/>
        </w:rPr>
      </w:pPr>
      <w:r w:rsidRPr="00071B68">
        <w:t>PA</w:t>
      </w:r>
      <w:r w:rsidRPr="00071B68">
        <w:tab/>
      </w:r>
      <w:r w:rsidRPr="00071B68">
        <w:rPr>
          <w:b/>
        </w:rPr>
        <w:t>Project Assignment</w:t>
      </w:r>
    </w:p>
    <w:p w14:paraId="316EA174" w14:textId="29E3E38B" w:rsidR="00956D02" w:rsidRDefault="00956D02" w:rsidP="00FE45CA">
      <w:pPr>
        <w:shd w:val="clear" w:color="auto" w:fill="FFFFFF"/>
        <w:spacing w:before="0" w:after="0" w:line="240" w:lineRule="auto"/>
        <w:ind w:left="1418" w:hanging="1418"/>
      </w:pPr>
      <w:r>
        <w:t>PO</w:t>
      </w:r>
      <w:r>
        <w:tab/>
        <w:t>Producer Organization</w:t>
      </w:r>
    </w:p>
    <w:p w14:paraId="269D14DA" w14:textId="2FB4907A" w:rsidR="00956D02" w:rsidRDefault="00956D02" w:rsidP="00FE45CA">
      <w:pPr>
        <w:shd w:val="clear" w:color="auto" w:fill="FFFFFF"/>
        <w:spacing w:before="0" w:after="0" w:line="240" w:lineRule="auto"/>
        <w:ind w:left="1418" w:hanging="1418"/>
      </w:pPr>
      <w:r>
        <w:t>SPO</w:t>
      </w:r>
      <w:r>
        <w:tab/>
        <w:t>Small-scale Producer Organization</w:t>
      </w:r>
    </w:p>
    <w:p w14:paraId="3D17583C" w14:textId="29EBA646" w:rsidR="00956D02" w:rsidRPr="00071B68" w:rsidRDefault="00956D02" w:rsidP="00FE45CA">
      <w:pPr>
        <w:shd w:val="clear" w:color="auto" w:fill="FFFFFF"/>
        <w:spacing w:before="0" w:after="0" w:line="240" w:lineRule="auto"/>
        <w:ind w:left="1418" w:hanging="1418"/>
      </w:pPr>
      <w:r>
        <w:t>HL</w:t>
      </w:r>
      <w:r>
        <w:tab/>
        <w:t>Hired Labour Organization</w:t>
      </w:r>
    </w:p>
    <w:p w14:paraId="7BE0622D" w14:textId="46D8C370" w:rsidR="00C712DE" w:rsidRPr="00071B68" w:rsidRDefault="00956D02" w:rsidP="00FE45CA">
      <w:pPr>
        <w:shd w:val="clear" w:color="auto" w:fill="FFFFFF"/>
        <w:spacing w:before="0" w:after="0" w:line="240" w:lineRule="auto"/>
        <w:ind w:left="1418" w:hanging="1418"/>
      </w:pPr>
      <w:r>
        <w:t>PN</w:t>
      </w:r>
      <w:r w:rsidR="00C712DE" w:rsidRPr="00071B68">
        <w:t xml:space="preserve"> </w:t>
      </w:r>
      <w:r w:rsidR="00C712DE" w:rsidRPr="00071B68">
        <w:tab/>
      </w:r>
      <w:r w:rsidR="00C712DE" w:rsidRPr="00071B68">
        <w:rPr>
          <w:b/>
        </w:rPr>
        <w:t>Producer networks</w:t>
      </w:r>
      <w:r w:rsidR="00C712DE" w:rsidRPr="00071B68">
        <w:t>, regional Fairtrade organizations in the producer markets</w:t>
      </w:r>
    </w:p>
    <w:p w14:paraId="3B0340FA" w14:textId="48367524" w:rsidR="00956D02" w:rsidRDefault="00956D02" w:rsidP="00FE45CA">
      <w:pPr>
        <w:shd w:val="clear" w:color="auto" w:fill="FFFFFF"/>
        <w:spacing w:before="0" w:after="0" w:line="240" w:lineRule="auto"/>
        <w:ind w:left="1418" w:hanging="1418"/>
      </w:pPr>
      <w:r>
        <w:t>SC</w:t>
      </w:r>
      <w:r>
        <w:tab/>
        <w:t>Fairtrade International Standards Committee</w:t>
      </w:r>
    </w:p>
    <w:p w14:paraId="6A234EA8" w14:textId="37A47402" w:rsidR="00C712DE" w:rsidRDefault="00956D02" w:rsidP="00FE45CA">
      <w:pPr>
        <w:shd w:val="clear" w:color="auto" w:fill="FFFFFF"/>
        <w:spacing w:before="0" w:after="0" w:line="240" w:lineRule="auto"/>
        <w:ind w:left="1418" w:hanging="1418"/>
        <w:rPr>
          <w:b/>
        </w:rPr>
      </w:pPr>
      <w:r>
        <w:t>SPO</w:t>
      </w:r>
      <w:r w:rsidR="00C712DE" w:rsidRPr="00071B68">
        <w:tab/>
      </w:r>
      <w:r w:rsidR="00C712DE" w:rsidRPr="00071B68">
        <w:rPr>
          <w:b/>
        </w:rPr>
        <w:t>Small</w:t>
      </w:r>
      <w:r w:rsidR="005E2D12">
        <w:rPr>
          <w:b/>
        </w:rPr>
        <w:t>-scale</w:t>
      </w:r>
      <w:r w:rsidR="00C712DE" w:rsidRPr="00071B68">
        <w:rPr>
          <w:b/>
        </w:rPr>
        <w:t xml:space="preserve"> Producer Organization</w:t>
      </w:r>
    </w:p>
    <w:p w14:paraId="5FC65C45" w14:textId="2D49C046" w:rsidR="005E2D12" w:rsidRPr="00071B68" w:rsidRDefault="005E2D12" w:rsidP="00FE45CA">
      <w:pPr>
        <w:shd w:val="clear" w:color="auto" w:fill="FFFFFF"/>
        <w:spacing w:before="0" w:after="0" w:line="240" w:lineRule="auto"/>
        <w:ind w:left="1418" w:hanging="1418"/>
      </w:pPr>
      <w:r>
        <w:t xml:space="preserve">S&amp;P </w:t>
      </w:r>
      <w:r>
        <w:tab/>
        <w:t>Fairtrade International Standards &amp; Pricing Unit</w:t>
      </w:r>
    </w:p>
    <w:p w14:paraId="678D7C0A" w14:textId="77777777" w:rsidR="00C712DE" w:rsidRDefault="00C712DE">
      <w:pPr>
        <w:spacing w:before="0" w:after="0" w:line="240" w:lineRule="auto"/>
        <w:jc w:val="left"/>
      </w:pPr>
      <w:r>
        <w:br w:type="page"/>
      </w:r>
    </w:p>
    <w:p w14:paraId="39DC72E2" w14:textId="04CCFF43" w:rsidR="008E5C03" w:rsidRDefault="008E5C03" w:rsidP="000D14E2">
      <w:pPr>
        <w:pStyle w:val="Heading1"/>
      </w:pPr>
      <w:bookmarkStart w:id="2" w:name="_Toc50452851"/>
      <w:r w:rsidRPr="000617F0">
        <w:lastRenderedPageBreak/>
        <w:t>Introduction</w:t>
      </w:r>
      <w:r w:rsidR="005F416A" w:rsidRPr="000617F0">
        <w:t xml:space="preserve"> </w:t>
      </w:r>
      <w:r w:rsidR="0097157E">
        <w:t>to the project</w:t>
      </w:r>
      <w:bookmarkEnd w:id="2"/>
    </w:p>
    <w:p w14:paraId="22ECA923" w14:textId="5FE27AFB" w:rsidR="001D7D6C" w:rsidRDefault="001D7D6C" w:rsidP="001F598B">
      <w:r>
        <w:t xml:space="preserve">The main goal of this project is to review the Fairtrade </w:t>
      </w:r>
      <w:r w:rsidR="00224A55">
        <w:t>M</w:t>
      </w:r>
      <w:r>
        <w:t xml:space="preserve">inimum </w:t>
      </w:r>
      <w:r w:rsidR="00224A55">
        <w:t>P</w:t>
      </w:r>
      <w:r>
        <w:t xml:space="preserve">rices and Premiums for all lime products. To see the full project description, please look at the Project Assignment published online </w:t>
      </w:r>
      <w:hyperlink r:id="rId9" w:history="1">
        <w:r w:rsidRPr="00057B58">
          <w:rPr>
            <w:rStyle w:val="Hyperlink"/>
          </w:rPr>
          <w:t>here</w:t>
        </w:r>
      </w:hyperlink>
      <w:r>
        <w:t xml:space="preserve">. </w:t>
      </w:r>
    </w:p>
    <w:p w14:paraId="59302D7A" w14:textId="722D6492" w:rsidR="00FA2F8B" w:rsidRDefault="001D7D6C" w:rsidP="00441C77">
      <w:pPr>
        <w:pStyle w:val="Heading3"/>
      </w:pPr>
      <w:bookmarkStart w:id="3" w:name="_Toc50452852"/>
      <w:r>
        <w:t>Status of the project</w:t>
      </w:r>
      <w:bookmarkEnd w:id="3"/>
    </w:p>
    <w:p w14:paraId="453A094B" w14:textId="77777777" w:rsidR="00B04791" w:rsidRDefault="00057B58" w:rsidP="001F598B">
      <w:r>
        <w:t xml:space="preserve">The project first consultation took place during May-June 2020. The results of the first consultation round can be seen </w:t>
      </w:r>
      <w:hyperlink r:id="rId10" w:history="1">
        <w:r w:rsidRPr="00057B58">
          <w:rPr>
            <w:rStyle w:val="Hyperlink"/>
          </w:rPr>
          <w:t>here</w:t>
        </w:r>
      </w:hyperlink>
      <w:r w:rsidR="00DE3C0A">
        <w:t>. (</w:t>
      </w:r>
      <w:r>
        <w:t xml:space="preserve">in Spanish </w:t>
      </w:r>
      <w:hyperlink r:id="rId11" w:history="1">
        <w:r w:rsidRPr="00057B58">
          <w:rPr>
            <w:rStyle w:val="Hyperlink"/>
          </w:rPr>
          <w:t>here</w:t>
        </w:r>
      </w:hyperlink>
      <w:r>
        <w:t xml:space="preserve">). </w:t>
      </w:r>
    </w:p>
    <w:p w14:paraId="0F6F166F" w14:textId="77777777" w:rsidR="00B04791" w:rsidRDefault="00893701" w:rsidP="001F598B">
      <w:r>
        <w:t xml:space="preserve">The most important outcome from this first consultation was the </w:t>
      </w:r>
      <w:r w:rsidR="00DE3C0A">
        <w:t xml:space="preserve">responses to question 7, where </w:t>
      </w:r>
      <w:r>
        <w:t>stakeholders</w:t>
      </w:r>
      <w:r w:rsidR="00DE3C0A">
        <w:t xml:space="preserve"> were asked</w:t>
      </w:r>
      <w:r>
        <w:t xml:space="preserve"> which model was preferred to review the FMP</w:t>
      </w:r>
      <w:r>
        <w:rPr>
          <w:rStyle w:val="FootnoteReference"/>
        </w:rPr>
        <w:footnoteReference w:id="1"/>
      </w:r>
      <w:r>
        <w:t xml:space="preserve"> and FP</w:t>
      </w:r>
      <w:r>
        <w:rPr>
          <w:rStyle w:val="FootnoteReference"/>
        </w:rPr>
        <w:footnoteReference w:id="2"/>
      </w:r>
      <w:r w:rsidRPr="00D45A01">
        <w:t xml:space="preserve"> </w:t>
      </w:r>
      <w:r>
        <w:t xml:space="preserve">for limes. The model with more votes from stakeholders </w:t>
      </w:r>
      <w:r w:rsidR="00DE3C0A">
        <w:t xml:space="preserve">has been </w:t>
      </w:r>
      <w:r>
        <w:t xml:space="preserve">the </w:t>
      </w:r>
      <w:r w:rsidR="00B04791">
        <w:t>“</w:t>
      </w:r>
      <w:r>
        <w:t>Full price research</w:t>
      </w:r>
      <w:r w:rsidR="00B04791">
        <w:t>”</w:t>
      </w:r>
      <w:r w:rsidR="00DE3C0A">
        <w:t xml:space="preserve"> (see table 1 from the consultation synopsis)</w:t>
      </w:r>
      <w:r>
        <w:t xml:space="preserve">, and </w:t>
      </w:r>
      <w:r w:rsidR="00DE3C0A">
        <w:t xml:space="preserve">also </w:t>
      </w:r>
      <w:r>
        <w:t>many producers provided their specific COSP</w:t>
      </w:r>
      <w:r>
        <w:rPr>
          <w:rStyle w:val="FootnoteReference"/>
        </w:rPr>
        <w:footnoteReference w:id="3"/>
      </w:r>
      <w:r w:rsidR="00DE3C0A">
        <w:t xml:space="preserve"> as requested</w:t>
      </w:r>
      <w:r>
        <w:t xml:space="preserve">. </w:t>
      </w:r>
    </w:p>
    <w:p w14:paraId="1366FE6D" w14:textId="7B01CEFF" w:rsidR="00893701" w:rsidRDefault="00893701" w:rsidP="001F598B">
      <w:r>
        <w:t>Given the results of this first consultation, we are now starting the second round of consultation, were we propose specific FMP and FP values for limes</w:t>
      </w:r>
      <w:r w:rsidR="00DE3C0A">
        <w:t xml:space="preserve"> based on the </w:t>
      </w:r>
      <w:r w:rsidR="00DE3C0A" w:rsidRPr="00D45A01">
        <w:t xml:space="preserve">COSP </w:t>
      </w:r>
      <w:r w:rsidR="00DE3C0A">
        <w:t>research</w:t>
      </w:r>
      <w:r w:rsidR="001D7D6C">
        <w:t xml:space="preserve"> (see annex in </w:t>
      </w:r>
      <w:r w:rsidR="001D7D6C">
        <w:fldChar w:fldCharType="begin"/>
      </w:r>
      <w:r w:rsidR="001D7D6C">
        <w:instrText xml:space="preserve"> REF _Ref49238888 \r \h </w:instrText>
      </w:r>
      <w:r w:rsidR="001D7D6C">
        <w:fldChar w:fldCharType="separate"/>
      </w:r>
      <w:r w:rsidR="0079784C">
        <w:t>PART 3</w:t>
      </w:r>
      <w:r w:rsidR="001D7D6C">
        <w:fldChar w:fldCharType="end"/>
      </w:r>
      <w:r w:rsidR="001D7D6C">
        <w:t>)</w:t>
      </w:r>
      <w:r w:rsidR="00DE3C0A">
        <w:t>.</w:t>
      </w:r>
    </w:p>
    <w:p w14:paraId="139D4739" w14:textId="7D9C8CF9" w:rsidR="00DE3C0A" w:rsidRDefault="00DE3C0A" w:rsidP="00DE3C0A">
      <w:pPr>
        <w:rPr>
          <w:bCs/>
        </w:rPr>
      </w:pPr>
      <w:r>
        <w:rPr>
          <w:noProof/>
          <w:lang w:val="en-US" w:eastAsia="en-US"/>
        </w:rPr>
        <w:t xml:space="preserve">To </w:t>
      </w:r>
      <w:r>
        <w:rPr>
          <w:bCs/>
        </w:rPr>
        <w:t xml:space="preserve">see the full project timelines in the </w:t>
      </w:r>
      <w:r>
        <w:rPr>
          <w:bCs/>
        </w:rPr>
        <w:fldChar w:fldCharType="begin"/>
      </w:r>
      <w:r>
        <w:rPr>
          <w:bCs/>
        </w:rPr>
        <w:instrText xml:space="preserve"> REF _Ref49237595 \h </w:instrText>
      </w:r>
      <w:r>
        <w:rPr>
          <w:bCs/>
        </w:rPr>
      </w:r>
      <w:r>
        <w:rPr>
          <w:bCs/>
        </w:rPr>
        <w:fldChar w:fldCharType="separate"/>
      </w:r>
      <w:r w:rsidR="0079784C">
        <w:t xml:space="preserve">Table </w:t>
      </w:r>
      <w:r w:rsidR="0079784C">
        <w:rPr>
          <w:noProof/>
        </w:rPr>
        <w:t>1</w:t>
      </w:r>
      <w:r>
        <w:rPr>
          <w:bCs/>
        </w:rPr>
        <w:fldChar w:fldCharType="end"/>
      </w:r>
      <w:r>
        <w:rPr>
          <w:bCs/>
        </w:rPr>
        <w:t xml:space="preserve"> below. </w:t>
      </w:r>
    </w:p>
    <w:p w14:paraId="72DB7A2D" w14:textId="05D25F27" w:rsidR="00893701" w:rsidRDefault="00893701" w:rsidP="001D7D6C">
      <w:pPr>
        <w:pStyle w:val="Caption"/>
      </w:pPr>
      <w:bookmarkStart w:id="4" w:name="_Ref49237595"/>
      <w:r>
        <w:t xml:space="preserve">Table </w:t>
      </w:r>
      <w:r>
        <w:fldChar w:fldCharType="begin"/>
      </w:r>
      <w:r>
        <w:instrText xml:space="preserve"> SEQ Table \* ARABIC </w:instrText>
      </w:r>
      <w:r>
        <w:fldChar w:fldCharType="separate"/>
      </w:r>
      <w:r w:rsidR="0079784C">
        <w:rPr>
          <w:noProof/>
        </w:rPr>
        <w:t>1</w:t>
      </w:r>
      <w:r>
        <w:fldChar w:fldCharType="end"/>
      </w:r>
      <w:bookmarkEnd w:id="4"/>
      <w:r>
        <w:t xml:space="preserve"> Project timelines</w:t>
      </w:r>
    </w:p>
    <w:tbl>
      <w:tblPr>
        <w:tblW w:w="9067" w:type="dxa"/>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Look w:val="04A0" w:firstRow="1" w:lastRow="0" w:firstColumn="1" w:lastColumn="0" w:noHBand="0" w:noVBand="1"/>
      </w:tblPr>
      <w:tblGrid>
        <w:gridCol w:w="463"/>
        <w:gridCol w:w="2935"/>
        <w:gridCol w:w="5669"/>
      </w:tblGrid>
      <w:tr w:rsidR="00FE45CA" w14:paraId="69C08D3E" w14:textId="77777777" w:rsidTr="00FE45CA">
        <w:tc>
          <w:tcPr>
            <w:tcW w:w="463" w:type="dxa"/>
            <w:tcBorders>
              <w:top w:val="nil"/>
              <w:left w:val="nil"/>
              <w:bottom w:val="single" w:sz="4" w:space="0" w:color="55DEFF"/>
              <w:right w:val="nil"/>
            </w:tcBorders>
            <w:shd w:val="clear" w:color="auto" w:fill="FFFFFF"/>
          </w:tcPr>
          <w:p w14:paraId="5C99B0F0" w14:textId="77777777" w:rsidR="00F13E57" w:rsidRPr="00FE45CA" w:rsidRDefault="00F13E57" w:rsidP="00FE45CA">
            <w:pPr>
              <w:spacing w:before="0" w:after="0" w:line="240" w:lineRule="auto"/>
              <w:jc w:val="left"/>
              <w:rPr>
                <w:b/>
                <w:bCs/>
                <w:i/>
                <w:iCs/>
              </w:rPr>
            </w:pPr>
          </w:p>
        </w:tc>
        <w:tc>
          <w:tcPr>
            <w:tcW w:w="2935" w:type="dxa"/>
            <w:tcBorders>
              <w:top w:val="nil"/>
              <w:left w:val="nil"/>
              <w:right w:val="nil"/>
            </w:tcBorders>
            <w:shd w:val="clear" w:color="auto" w:fill="FFFFFF"/>
          </w:tcPr>
          <w:p w14:paraId="0F25E153" w14:textId="77777777" w:rsidR="00F13E57" w:rsidRPr="00FE45CA" w:rsidRDefault="00254D51" w:rsidP="00FE45CA">
            <w:pPr>
              <w:spacing w:before="0" w:after="0" w:line="240" w:lineRule="auto"/>
              <w:jc w:val="left"/>
              <w:rPr>
                <w:b/>
                <w:bCs/>
              </w:rPr>
            </w:pPr>
            <w:r w:rsidRPr="00FE45CA">
              <w:rPr>
                <w:b/>
                <w:bCs/>
              </w:rPr>
              <w:t>Time</w:t>
            </w:r>
          </w:p>
        </w:tc>
        <w:tc>
          <w:tcPr>
            <w:tcW w:w="5669" w:type="dxa"/>
            <w:tcBorders>
              <w:top w:val="nil"/>
              <w:left w:val="nil"/>
              <w:right w:val="nil"/>
            </w:tcBorders>
            <w:shd w:val="clear" w:color="auto" w:fill="FFFFFF"/>
          </w:tcPr>
          <w:p w14:paraId="3B41E37A" w14:textId="77777777" w:rsidR="00F13E57" w:rsidRPr="00FE45CA" w:rsidRDefault="00254D51" w:rsidP="00FE45CA">
            <w:pPr>
              <w:spacing w:before="0" w:after="0" w:line="240" w:lineRule="auto"/>
              <w:jc w:val="left"/>
              <w:rPr>
                <w:b/>
                <w:bCs/>
              </w:rPr>
            </w:pPr>
            <w:r w:rsidRPr="00FE45CA">
              <w:rPr>
                <w:b/>
                <w:bCs/>
              </w:rPr>
              <w:t>Activity</w:t>
            </w:r>
          </w:p>
        </w:tc>
      </w:tr>
      <w:tr w:rsidR="00FE45CA" w14:paraId="487CF4B1" w14:textId="77777777" w:rsidTr="00FE45CA">
        <w:tc>
          <w:tcPr>
            <w:tcW w:w="463" w:type="dxa"/>
            <w:tcBorders>
              <w:top w:val="nil"/>
              <w:left w:val="nil"/>
              <w:bottom w:val="nil"/>
            </w:tcBorders>
            <w:shd w:val="clear" w:color="auto" w:fill="FFFFFF"/>
          </w:tcPr>
          <w:p w14:paraId="1AF78022" w14:textId="77777777" w:rsidR="00F13E57" w:rsidRPr="00FE45CA" w:rsidRDefault="00F13E57" w:rsidP="00FE45CA">
            <w:pPr>
              <w:spacing w:before="0" w:after="0" w:line="240" w:lineRule="auto"/>
              <w:jc w:val="left"/>
              <w:rPr>
                <w:i/>
                <w:iCs/>
              </w:rPr>
            </w:pPr>
          </w:p>
        </w:tc>
        <w:tc>
          <w:tcPr>
            <w:tcW w:w="2935" w:type="dxa"/>
            <w:shd w:val="clear" w:color="auto" w:fill="C6F4FF"/>
            <w:vAlign w:val="center"/>
          </w:tcPr>
          <w:p w14:paraId="23FB4E74" w14:textId="77777777" w:rsidR="00F13E57" w:rsidRPr="00956D02" w:rsidRDefault="00F13E57" w:rsidP="00FE45CA">
            <w:pPr>
              <w:spacing w:before="0" w:after="0" w:line="240" w:lineRule="auto"/>
              <w:jc w:val="left"/>
              <w:rPr>
                <w:b/>
              </w:rPr>
            </w:pPr>
            <w:r w:rsidRPr="00956D02">
              <w:rPr>
                <w:b/>
              </w:rPr>
              <w:t xml:space="preserve">October 2019 - January 2020 </w:t>
            </w:r>
          </w:p>
        </w:tc>
        <w:tc>
          <w:tcPr>
            <w:tcW w:w="5669" w:type="dxa"/>
            <w:shd w:val="clear" w:color="auto" w:fill="C6F4FF"/>
          </w:tcPr>
          <w:p w14:paraId="7AFD7128" w14:textId="77777777" w:rsidR="00F13E57" w:rsidRPr="00FE45CA" w:rsidRDefault="00F13E57" w:rsidP="00661E91">
            <w:pPr>
              <w:pStyle w:val="ListParagraph"/>
              <w:numPr>
                <w:ilvl w:val="0"/>
                <w:numId w:val="4"/>
              </w:numPr>
              <w:spacing w:before="0" w:after="0" w:line="240" w:lineRule="auto"/>
              <w:ind w:left="319" w:hanging="284"/>
              <w:rPr>
                <w:rFonts w:eastAsia="Times New Roman" w:cs="Arial"/>
                <w:sz w:val="20"/>
                <w:szCs w:val="20"/>
                <w:lang w:eastAsia="en-GB"/>
              </w:rPr>
            </w:pPr>
            <w:r w:rsidRPr="00FE45CA">
              <w:rPr>
                <w:rFonts w:eastAsia="Times New Roman" w:cs="Arial"/>
                <w:sz w:val="20"/>
                <w:szCs w:val="20"/>
                <w:lang w:eastAsia="en-GB"/>
              </w:rPr>
              <w:t xml:space="preserve">Preparation of the Project Assignment </w:t>
            </w:r>
          </w:p>
          <w:p w14:paraId="67EB1480" w14:textId="77777777" w:rsidR="00F13E57" w:rsidRPr="00FE45CA" w:rsidRDefault="00F13E57" w:rsidP="00661E91">
            <w:pPr>
              <w:pStyle w:val="ListParagraph"/>
              <w:numPr>
                <w:ilvl w:val="0"/>
                <w:numId w:val="4"/>
              </w:numPr>
              <w:spacing w:before="0" w:after="0" w:line="240" w:lineRule="auto"/>
              <w:ind w:left="319" w:hanging="284"/>
              <w:rPr>
                <w:rFonts w:eastAsia="Times New Roman" w:cs="Arial"/>
                <w:sz w:val="20"/>
                <w:szCs w:val="20"/>
                <w:lang w:eastAsia="en-GB"/>
              </w:rPr>
            </w:pPr>
            <w:r w:rsidRPr="00FE45CA">
              <w:rPr>
                <w:rFonts w:eastAsia="Times New Roman" w:cs="Arial"/>
                <w:sz w:val="20"/>
                <w:szCs w:val="20"/>
                <w:lang w:eastAsia="en-GB"/>
              </w:rPr>
              <w:t>Definition of the scope of the project with the project team</w:t>
            </w:r>
          </w:p>
          <w:p w14:paraId="407E4DD6" w14:textId="77777777" w:rsidR="00F13E57" w:rsidRPr="00FE45CA" w:rsidRDefault="00F13E57" w:rsidP="00661E91">
            <w:pPr>
              <w:pStyle w:val="ListParagraph"/>
              <w:numPr>
                <w:ilvl w:val="0"/>
                <w:numId w:val="4"/>
              </w:numPr>
              <w:spacing w:before="0" w:after="0" w:line="240" w:lineRule="auto"/>
              <w:ind w:left="319" w:hanging="284"/>
              <w:rPr>
                <w:rFonts w:eastAsia="Times New Roman" w:cs="Arial"/>
                <w:sz w:val="20"/>
                <w:szCs w:val="20"/>
                <w:lang w:eastAsia="en-GB"/>
              </w:rPr>
            </w:pPr>
            <w:r w:rsidRPr="00FE45CA">
              <w:rPr>
                <w:rFonts w:eastAsia="Times New Roman" w:cs="Arial"/>
                <w:sz w:val="20"/>
                <w:szCs w:val="20"/>
                <w:lang w:eastAsia="en-GB"/>
              </w:rPr>
              <w:t>Research on Fairtrade limes transactions</w:t>
            </w:r>
          </w:p>
        </w:tc>
      </w:tr>
      <w:tr w:rsidR="00FE45CA" w14:paraId="7477BFAC" w14:textId="77777777" w:rsidTr="00FE45CA">
        <w:tc>
          <w:tcPr>
            <w:tcW w:w="463" w:type="dxa"/>
            <w:tcBorders>
              <w:top w:val="nil"/>
              <w:left w:val="nil"/>
              <w:bottom w:val="nil"/>
            </w:tcBorders>
            <w:shd w:val="clear" w:color="auto" w:fill="FFFFFF"/>
          </w:tcPr>
          <w:p w14:paraId="7CC3FDFE"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05F3F55C" w14:textId="7195A79A" w:rsidR="00F13E57" w:rsidRPr="00956D02" w:rsidRDefault="00F13E57" w:rsidP="000C4989">
            <w:pPr>
              <w:spacing w:before="0" w:after="0" w:line="240" w:lineRule="auto"/>
              <w:jc w:val="left"/>
              <w:rPr>
                <w:b/>
              </w:rPr>
            </w:pPr>
            <w:r w:rsidRPr="00956D02">
              <w:rPr>
                <w:b/>
              </w:rPr>
              <w:t>February - March, 2020</w:t>
            </w:r>
          </w:p>
        </w:tc>
        <w:tc>
          <w:tcPr>
            <w:tcW w:w="5669" w:type="dxa"/>
            <w:shd w:val="clear" w:color="auto" w:fill="auto"/>
          </w:tcPr>
          <w:p w14:paraId="7B18761A" w14:textId="27D48BF5" w:rsidR="00F13E57" w:rsidRPr="00FE45CA" w:rsidRDefault="0013325F" w:rsidP="00661E91">
            <w:pPr>
              <w:pStyle w:val="ListParagraph"/>
              <w:numPr>
                <w:ilvl w:val="0"/>
                <w:numId w:val="4"/>
              </w:numPr>
              <w:spacing w:before="0" w:after="0" w:line="240" w:lineRule="auto"/>
              <w:ind w:left="319" w:hanging="284"/>
            </w:pPr>
            <w:r w:rsidRPr="00FE45CA">
              <w:rPr>
                <w:sz w:val="20"/>
                <w:szCs w:val="20"/>
              </w:rPr>
              <w:t>Draft consultation document</w:t>
            </w:r>
          </w:p>
        </w:tc>
      </w:tr>
      <w:tr w:rsidR="000C4989" w14:paraId="6511A938" w14:textId="77777777" w:rsidTr="00FE45CA">
        <w:tc>
          <w:tcPr>
            <w:tcW w:w="463" w:type="dxa"/>
            <w:tcBorders>
              <w:top w:val="nil"/>
              <w:left w:val="nil"/>
              <w:bottom w:val="nil"/>
            </w:tcBorders>
            <w:shd w:val="clear" w:color="auto" w:fill="FFFFFF"/>
          </w:tcPr>
          <w:p w14:paraId="3DF15F0A" w14:textId="77777777" w:rsidR="000C4989" w:rsidRPr="00FE45CA" w:rsidRDefault="000C4989" w:rsidP="00FE45CA">
            <w:pPr>
              <w:spacing w:before="0" w:after="0" w:line="240" w:lineRule="auto"/>
              <w:jc w:val="left"/>
              <w:rPr>
                <w:i/>
                <w:iCs/>
              </w:rPr>
            </w:pPr>
          </w:p>
        </w:tc>
        <w:tc>
          <w:tcPr>
            <w:tcW w:w="2935" w:type="dxa"/>
            <w:shd w:val="clear" w:color="auto" w:fill="auto"/>
            <w:vAlign w:val="center"/>
          </w:tcPr>
          <w:p w14:paraId="6FD7E490" w14:textId="1F613D84" w:rsidR="000C4989" w:rsidRPr="00956D02" w:rsidRDefault="000C4989" w:rsidP="000C4989">
            <w:pPr>
              <w:spacing w:before="0" w:after="0" w:line="240" w:lineRule="auto"/>
              <w:jc w:val="left"/>
              <w:rPr>
                <w:b/>
              </w:rPr>
            </w:pPr>
            <w:r w:rsidRPr="00956D02">
              <w:rPr>
                <w:b/>
              </w:rPr>
              <w:t>April – May 2020</w:t>
            </w:r>
          </w:p>
        </w:tc>
        <w:tc>
          <w:tcPr>
            <w:tcW w:w="5669" w:type="dxa"/>
            <w:shd w:val="clear" w:color="auto" w:fill="auto"/>
          </w:tcPr>
          <w:p w14:paraId="64FBDC54" w14:textId="77777777" w:rsidR="000C4989" w:rsidRDefault="00135EA7" w:rsidP="00661E91">
            <w:pPr>
              <w:pStyle w:val="ListParagraph"/>
              <w:numPr>
                <w:ilvl w:val="0"/>
                <w:numId w:val="4"/>
              </w:numPr>
              <w:spacing w:before="0" w:after="0" w:line="240" w:lineRule="auto"/>
              <w:ind w:left="319" w:hanging="284"/>
              <w:rPr>
                <w:sz w:val="20"/>
                <w:szCs w:val="20"/>
              </w:rPr>
            </w:pPr>
            <w:r>
              <w:rPr>
                <w:sz w:val="20"/>
                <w:szCs w:val="20"/>
              </w:rPr>
              <w:t>Hold on due to Covid situation</w:t>
            </w:r>
          </w:p>
          <w:p w14:paraId="69785316" w14:textId="77777777" w:rsidR="00135EA7" w:rsidRDefault="00135EA7" w:rsidP="00661E91">
            <w:pPr>
              <w:pStyle w:val="ListParagraph"/>
              <w:numPr>
                <w:ilvl w:val="0"/>
                <w:numId w:val="4"/>
              </w:numPr>
              <w:spacing w:before="0" w:after="0" w:line="240" w:lineRule="auto"/>
              <w:ind w:left="319" w:hanging="284"/>
              <w:rPr>
                <w:sz w:val="20"/>
                <w:szCs w:val="20"/>
              </w:rPr>
            </w:pPr>
            <w:r>
              <w:rPr>
                <w:sz w:val="20"/>
                <w:szCs w:val="20"/>
              </w:rPr>
              <w:t>Discussion with the project team about next steps.</w:t>
            </w:r>
          </w:p>
          <w:p w14:paraId="486851A9" w14:textId="336A1637" w:rsidR="00135EA7" w:rsidRPr="00FE45CA" w:rsidRDefault="00135EA7" w:rsidP="00661E91">
            <w:pPr>
              <w:pStyle w:val="ListParagraph"/>
              <w:numPr>
                <w:ilvl w:val="0"/>
                <w:numId w:val="4"/>
              </w:numPr>
              <w:spacing w:before="0" w:after="0" w:line="240" w:lineRule="auto"/>
              <w:ind w:left="319" w:hanging="284"/>
              <w:rPr>
                <w:sz w:val="20"/>
                <w:szCs w:val="20"/>
              </w:rPr>
            </w:pPr>
            <w:r>
              <w:rPr>
                <w:sz w:val="20"/>
                <w:szCs w:val="20"/>
              </w:rPr>
              <w:t>Translation of consul</w:t>
            </w:r>
            <w:r w:rsidR="002945E6">
              <w:rPr>
                <w:sz w:val="20"/>
                <w:szCs w:val="20"/>
              </w:rPr>
              <w:t>tation</w:t>
            </w:r>
            <w:r>
              <w:rPr>
                <w:sz w:val="20"/>
                <w:szCs w:val="20"/>
              </w:rPr>
              <w:t xml:space="preserve"> document </w:t>
            </w:r>
          </w:p>
        </w:tc>
      </w:tr>
      <w:tr w:rsidR="00FE45CA" w14:paraId="532546F6" w14:textId="77777777" w:rsidTr="003D2AD0">
        <w:tc>
          <w:tcPr>
            <w:tcW w:w="463" w:type="dxa"/>
            <w:tcBorders>
              <w:top w:val="nil"/>
              <w:left w:val="nil"/>
              <w:bottom w:val="nil"/>
            </w:tcBorders>
            <w:shd w:val="clear" w:color="auto" w:fill="FFFFFF"/>
          </w:tcPr>
          <w:p w14:paraId="31012FFB"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159A8BD3" w14:textId="776BE953" w:rsidR="00F13E57" w:rsidRPr="00956D02" w:rsidRDefault="000C4989" w:rsidP="00FE45CA">
            <w:pPr>
              <w:spacing w:before="0" w:after="0" w:line="240" w:lineRule="auto"/>
              <w:jc w:val="left"/>
              <w:rPr>
                <w:b/>
              </w:rPr>
            </w:pPr>
            <w:r w:rsidRPr="00956D02">
              <w:rPr>
                <w:b/>
                <w:bCs/>
              </w:rPr>
              <w:t>May - June</w:t>
            </w:r>
            <w:r w:rsidR="0013325F" w:rsidRPr="00956D02">
              <w:rPr>
                <w:b/>
                <w:bCs/>
              </w:rPr>
              <w:t xml:space="preserve"> </w:t>
            </w:r>
            <w:r w:rsidR="00F13E57" w:rsidRPr="00956D02">
              <w:rPr>
                <w:b/>
                <w:bCs/>
              </w:rPr>
              <w:t>2020</w:t>
            </w:r>
          </w:p>
        </w:tc>
        <w:tc>
          <w:tcPr>
            <w:tcW w:w="5669" w:type="dxa"/>
            <w:shd w:val="clear" w:color="auto" w:fill="auto"/>
          </w:tcPr>
          <w:p w14:paraId="64F2D6BF" w14:textId="5F167336" w:rsidR="00F13E57" w:rsidRPr="00FE45CA" w:rsidRDefault="00136FC5" w:rsidP="00661E91">
            <w:pPr>
              <w:pStyle w:val="ListParagraph"/>
              <w:numPr>
                <w:ilvl w:val="0"/>
                <w:numId w:val="4"/>
              </w:numPr>
              <w:spacing w:before="0" w:after="0" w:line="240" w:lineRule="auto"/>
              <w:ind w:left="319" w:hanging="284"/>
              <w:rPr>
                <w:rFonts w:eastAsia="Times New Roman" w:cs="Arial"/>
                <w:b/>
                <w:sz w:val="20"/>
                <w:szCs w:val="20"/>
                <w:lang w:eastAsia="en-GB"/>
              </w:rPr>
            </w:pPr>
            <w:r>
              <w:rPr>
                <w:sz w:val="20"/>
                <w:szCs w:val="20"/>
              </w:rPr>
              <w:t>Consultation</w:t>
            </w:r>
          </w:p>
        </w:tc>
      </w:tr>
      <w:tr w:rsidR="00FE45CA" w14:paraId="5F1F6689" w14:textId="77777777" w:rsidTr="00FE45CA">
        <w:tc>
          <w:tcPr>
            <w:tcW w:w="463" w:type="dxa"/>
            <w:tcBorders>
              <w:top w:val="nil"/>
              <w:left w:val="nil"/>
              <w:bottom w:val="nil"/>
            </w:tcBorders>
            <w:shd w:val="clear" w:color="auto" w:fill="FFFFFF"/>
          </w:tcPr>
          <w:p w14:paraId="58202295" w14:textId="77777777" w:rsidR="0013325F" w:rsidRPr="00FE45CA" w:rsidRDefault="0013325F" w:rsidP="00FE45CA">
            <w:pPr>
              <w:spacing w:before="0" w:after="0" w:line="240" w:lineRule="auto"/>
              <w:jc w:val="left"/>
              <w:rPr>
                <w:i/>
                <w:iCs/>
              </w:rPr>
            </w:pPr>
          </w:p>
        </w:tc>
        <w:tc>
          <w:tcPr>
            <w:tcW w:w="2935" w:type="dxa"/>
            <w:shd w:val="clear" w:color="auto" w:fill="auto"/>
            <w:vAlign w:val="center"/>
          </w:tcPr>
          <w:p w14:paraId="63DB9873" w14:textId="01E30D91" w:rsidR="0013325F" w:rsidRPr="00956D02" w:rsidRDefault="0013325F" w:rsidP="000C4989">
            <w:pPr>
              <w:spacing w:before="0" w:after="0" w:line="240" w:lineRule="auto"/>
              <w:jc w:val="left"/>
              <w:rPr>
                <w:b/>
                <w:bCs/>
              </w:rPr>
            </w:pPr>
            <w:r w:rsidRPr="00956D02">
              <w:rPr>
                <w:b/>
                <w:bCs/>
              </w:rPr>
              <w:t>J</w:t>
            </w:r>
            <w:r w:rsidR="000C4989" w:rsidRPr="00956D02">
              <w:rPr>
                <w:b/>
                <w:bCs/>
              </w:rPr>
              <w:t>uly</w:t>
            </w:r>
            <w:r w:rsidRPr="00956D02">
              <w:rPr>
                <w:b/>
                <w:bCs/>
              </w:rPr>
              <w:t xml:space="preserve"> 2020</w:t>
            </w:r>
          </w:p>
        </w:tc>
        <w:tc>
          <w:tcPr>
            <w:tcW w:w="5669" w:type="dxa"/>
            <w:shd w:val="clear" w:color="auto" w:fill="auto"/>
          </w:tcPr>
          <w:p w14:paraId="39A726AB" w14:textId="77777777" w:rsidR="0013325F" w:rsidRPr="00621FA1" w:rsidRDefault="0013325F" w:rsidP="00661E91">
            <w:pPr>
              <w:pStyle w:val="ListParagraph"/>
              <w:numPr>
                <w:ilvl w:val="0"/>
                <w:numId w:val="4"/>
              </w:numPr>
              <w:spacing w:before="0" w:after="0" w:line="240" w:lineRule="auto"/>
              <w:ind w:left="319" w:hanging="284"/>
              <w:rPr>
                <w:rFonts w:eastAsia="Times New Roman" w:cs="Arial"/>
                <w:sz w:val="20"/>
                <w:szCs w:val="20"/>
                <w:lang w:eastAsia="en-GB"/>
              </w:rPr>
            </w:pPr>
            <w:r w:rsidRPr="003D2AD0">
              <w:rPr>
                <w:sz w:val="20"/>
                <w:szCs w:val="20"/>
              </w:rPr>
              <w:t>Analysis of responses</w:t>
            </w:r>
          </w:p>
          <w:p w14:paraId="191019F6" w14:textId="703811EC" w:rsidR="00621FA1" w:rsidRPr="00621FA1" w:rsidRDefault="00621FA1" w:rsidP="00661E91">
            <w:pPr>
              <w:pStyle w:val="ListParagraph"/>
              <w:numPr>
                <w:ilvl w:val="0"/>
                <w:numId w:val="4"/>
              </w:numPr>
              <w:spacing w:before="0" w:after="0" w:line="240" w:lineRule="auto"/>
              <w:ind w:left="319" w:hanging="284"/>
              <w:rPr>
                <w:rFonts w:eastAsia="Times New Roman" w:cs="Arial"/>
                <w:sz w:val="20"/>
                <w:szCs w:val="20"/>
                <w:lang w:eastAsia="en-GB"/>
              </w:rPr>
            </w:pPr>
            <w:r>
              <w:rPr>
                <w:sz w:val="20"/>
                <w:szCs w:val="20"/>
              </w:rPr>
              <w:t>Decision to continue to a second consultation</w:t>
            </w:r>
          </w:p>
          <w:p w14:paraId="7A746A50" w14:textId="101F3446" w:rsidR="00621FA1" w:rsidRPr="00FE45CA" w:rsidRDefault="00621FA1" w:rsidP="00661E91">
            <w:pPr>
              <w:pStyle w:val="ListParagraph"/>
              <w:numPr>
                <w:ilvl w:val="0"/>
                <w:numId w:val="4"/>
              </w:numPr>
              <w:spacing w:before="0" w:after="0" w:line="240" w:lineRule="auto"/>
              <w:ind w:left="319" w:hanging="284"/>
              <w:rPr>
                <w:rFonts w:eastAsia="Times New Roman" w:cs="Arial"/>
                <w:sz w:val="20"/>
                <w:szCs w:val="20"/>
                <w:lang w:eastAsia="en-GB"/>
              </w:rPr>
            </w:pPr>
            <w:r w:rsidRPr="003D2AD0">
              <w:rPr>
                <w:sz w:val="20"/>
                <w:szCs w:val="20"/>
              </w:rPr>
              <w:t>Analysis of the COSP received</w:t>
            </w:r>
          </w:p>
        </w:tc>
      </w:tr>
      <w:tr w:rsidR="00FE45CA" w14:paraId="38982389" w14:textId="77777777" w:rsidTr="00FE45CA">
        <w:tc>
          <w:tcPr>
            <w:tcW w:w="463" w:type="dxa"/>
            <w:tcBorders>
              <w:top w:val="nil"/>
              <w:left w:val="nil"/>
              <w:bottom w:val="nil"/>
            </w:tcBorders>
            <w:shd w:val="clear" w:color="auto" w:fill="FFFFFF"/>
          </w:tcPr>
          <w:p w14:paraId="50BBE00B"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528ED51F" w14:textId="29DDCBCA" w:rsidR="00F13E57" w:rsidRPr="00956D02" w:rsidRDefault="000C4989" w:rsidP="000C4989">
            <w:pPr>
              <w:spacing w:before="0" w:after="0" w:line="240" w:lineRule="auto"/>
              <w:jc w:val="left"/>
              <w:rPr>
                <w:b/>
              </w:rPr>
            </w:pPr>
            <w:r w:rsidRPr="00956D02">
              <w:rPr>
                <w:b/>
                <w:bCs/>
              </w:rPr>
              <w:t>August</w:t>
            </w:r>
            <w:r w:rsidR="00F13E57" w:rsidRPr="00956D02">
              <w:rPr>
                <w:b/>
                <w:bCs/>
              </w:rPr>
              <w:t>, 2020</w:t>
            </w:r>
          </w:p>
        </w:tc>
        <w:tc>
          <w:tcPr>
            <w:tcW w:w="5669" w:type="dxa"/>
            <w:shd w:val="clear" w:color="auto" w:fill="auto"/>
          </w:tcPr>
          <w:p w14:paraId="4C92D8E8" w14:textId="77777777" w:rsidR="00F13E57" w:rsidRPr="003D2AD0" w:rsidRDefault="00F13E57" w:rsidP="00661E91">
            <w:pPr>
              <w:pStyle w:val="ListParagraph"/>
              <w:numPr>
                <w:ilvl w:val="0"/>
                <w:numId w:val="4"/>
              </w:numPr>
              <w:spacing w:before="0" w:after="0" w:line="240" w:lineRule="auto"/>
              <w:ind w:left="319" w:hanging="284"/>
              <w:rPr>
                <w:sz w:val="20"/>
                <w:szCs w:val="20"/>
              </w:rPr>
            </w:pPr>
            <w:r w:rsidRPr="003D2AD0">
              <w:rPr>
                <w:sz w:val="20"/>
                <w:szCs w:val="20"/>
              </w:rPr>
              <w:t>Preparation of 2nd</w:t>
            </w:r>
            <w:r w:rsidRPr="00482F2F">
              <w:rPr>
                <w:sz w:val="20"/>
                <w:szCs w:val="20"/>
              </w:rPr>
              <w:t xml:space="preserve"> public c</w:t>
            </w:r>
            <w:r w:rsidRPr="003D2AD0">
              <w:rPr>
                <w:sz w:val="20"/>
                <w:szCs w:val="20"/>
              </w:rPr>
              <w:t xml:space="preserve">onsultation </w:t>
            </w:r>
          </w:p>
        </w:tc>
      </w:tr>
      <w:tr w:rsidR="00FE45CA" w14:paraId="633B6E0E" w14:textId="77777777" w:rsidTr="00FE45CA">
        <w:tc>
          <w:tcPr>
            <w:tcW w:w="463" w:type="dxa"/>
            <w:tcBorders>
              <w:top w:val="nil"/>
              <w:left w:val="nil"/>
              <w:bottom w:val="nil"/>
            </w:tcBorders>
            <w:shd w:val="clear" w:color="auto" w:fill="FFFFFF"/>
          </w:tcPr>
          <w:p w14:paraId="3F97FDC9" w14:textId="77777777" w:rsidR="00F13E57" w:rsidRPr="00FE45CA" w:rsidRDefault="00F13E57" w:rsidP="00FE45CA">
            <w:pPr>
              <w:spacing w:before="0" w:after="0" w:line="240" w:lineRule="auto"/>
              <w:jc w:val="left"/>
              <w:rPr>
                <w:i/>
                <w:iCs/>
              </w:rPr>
            </w:pPr>
          </w:p>
        </w:tc>
        <w:tc>
          <w:tcPr>
            <w:tcW w:w="2935" w:type="dxa"/>
            <w:shd w:val="clear" w:color="auto" w:fill="C6F4FF"/>
            <w:vAlign w:val="center"/>
          </w:tcPr>
          <w:p w14:paraId="44EFD8A4" w14:textId="3CDFCE0A" w:rsidR="00F13E57" w:rsidRPr="00956D02" w:rsidRDefault="000C4989" w:rsidP="000C4989">
            <w:pPr>
              <w:spacing w:before="0" w:after="0" w:line="240" w:lineRule="auto"/>
              <w:jc w:val="left"/>
              <w:rPr>
                <w:b/>
                <w:bCs/>
                <w:lang w:val="en-US"/>
              </w:rPr>
            </w:pPr>
            <w:r w:rsidRPr="00956D02">
              <w:rPr>
                <w:b/>
              </w:rPr>
              <w:t xml:space="preserve">September </w:t>
            </w:r>
            <w:r w:rsidR="0013325F" w:rsidRPr="00956D02">
              <w:rPr>
                <w:b/>
              </w:rPr>
              <w:t>2020</w:t>
            </w:r>
          </w:p>
        </w:tc>
        <w:tc>
          <w:tcPr>
            <w:tcW w:w="5669" w:type="dxa"/>
            <w:shd w:val="clear" w:color="auto" w:fill="C6F4FF"/>
          </w:tcPr>
          <w:p w14:paraId="4056F680" w14:textId="0A0193E5" w:rsidR="00F13E57" w:rsidRPr="003D2AD0" w:rsidRDefault="00F13E57" w:rsidP="00661E91">
            <w:pPr>
              <w:pStyle w:val="ListParagraph"/>
              <w:numPr>
                <w:ilvl w:val="0"/>
                <w:numId w:val="7"/>
              </w:numPr>
              <w:spacing w:before="0" w:after="0" w:line="240" w:lineRule="auto"/>
              <w:rPr>
                <w:b/>
                <w:sz w:val="20"/>
                <w:u w:val="single"/>
              </w:rPr>
            </w:pPr>
            <w:r w:rsidRPr="003D2AD0">
              <w:rPr>
                <w:b/>
                <w:sz w:val="20"/>
                <w:u w:val="single"/>
              </w:rPr>
              <w:t>2</w:t>
            </w:r>
            <w:r w:rsidRPr="003D2AD0">
              <w:rPr>
                <w:b/>
                <w:sz w:val="20"/>
                <w:u w:val="single"/>
                <w:vertAlign w:val="superscript"/>
              </w:rPr>
              <w:t>nd</w:t>
            </w:r>
            <w:r w:rsidRPr="003D2AD0">
              <w:rPr>
                <w:b/>
                <w:sz w:val="20"/>
                <w:u w:val="single"/>
              </w:rPr>
              <w:t xml:space="preserve"> Consultation</w:t>
            </w:r>
            <w:r w:rsidR="00136FC5" w:rsidRPr="003D2AD0">
              <w:rPr>
                <w:b/>
                <w:sz w:val="20"/>
                <w:u w:val="single"/>
              </w:rPr>
              <w:t xml:space="preserve"> – This Document</w:t>
            </w:r>
          </w:p>
        </w:tc>
      </w:tr>
      <w:tr w:rsidR="00FE45CA" w14:paraId="21C88310" w14:textId="77777777" w:rsidTr="00FE45CA">
        <w:tc>
          <w:tcPr>
            <w:tcW w:w="463" w:type="dxa"/>
            <w:tcBorders>
              <w:top w:val="nil"/>
              <w:left w:val="nil"/>
              <w:bottom w:val="nil"/>
            </w:tcBorders>
            <w:shd w:val="clear" w:color="auto" w:fill="FFFFFF"/>
          </w:tcPr>
          <w:p w14:paraId="79F9FBF4"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0643BCED" w14:textId="46C7C43F" w:rsidR="00F13E57" w:rsidRPr="00956D02" w:rsidRDefault="000C4989" w:rsidP="00FE45CA">
            <w:pPr>
              <w:spacing w:before="0" w:after="0" w:line="240" w:lineRule="auto"/>
              <w:jc w:val="left"/>
              <w:rPr>
                <w:b/>
              </w:rPr>
            </w:pPr>
            <w:r w:rsidRPr="00956D02">
              <w:rPr>
                <w:b/>
              </w:rPr>
              <w:t>October</w:t>
            </w:r>
            <w:r w:rsidR="00F13E57" w:rsidRPr="00956D02">
              <w:rPr>
                <w:b/>
              </w:rPr>
              <w:t xml:space="preserve"> 2020</w:t>
            </w:r>
          </w:p>
        </w:tc>
        <w:tc>
          <w:tcPr>
            <w:tcW w:w="5669" w:type="dxa"/>
            <w:shd w:val="clear" w:color="auto" w:fill="auto"/>
          </w:tcPr>
          <w:p w14:paraId="6FB3782F" w14:textId="77777777" w:rsidR="00F13E57" w:rsidRPr="00FE45CA" w:rsidRDefault="00F13E57" w:rsidP="00661E91">
            <w:pPr>
              <w:pStyle w:val="ListParagraph"/>
              <w:numPr>
                <w:ilvl w:val="0"/>
                <w:numId w:val="3"/>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Analysis of responses from the 2</w:t>
            </w:r>
            <w:r w:rsidRPr="00FE45CA">
              <w:rPr>
                <w:rFonts w:eastAsia="Times New Roman" w:cs="Arial"/>
                <w:sz w:val="20"/>
                <w:szCs w:val="20"/>
                <w:vertAlign w:val="superscript"/>
                <w:lang w:eastAsia="en-GB"/>
              </w:rPr>
              <w:t>nd</w:t>
            </w:r>
            <w:r w:rsidRPr="00FE45CA">
              <w:rPr>
                <w:rFonts w:eastAsia="Times New Roman" w:cs="Arial"/>
                <w:sz w:val="20"/>
                <w:szCs w:val="20"/>
                <w:lang w:eastAsia="en-GB"/>
              </w:rPr>
              <w:t xml:space="preserve"> Consultation</w:t>
            </w:r>
          </w:p>
          <w:p w14:paraId="531683BB" w14:textId="77777777" w:rsidR="00F13E57" w:rsidRPr="00FE45CA" w:rsidRDefault="00F13E57" w:rsidP="00661E91">
            <w:pPr>
              <w:pStyle w:val="ListParagraph"/>
              <w:numPr>
                <w:ilvl w:val="0"/>
                <w:numId w:val="3"/>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Preparing document for SC decision</w:t>
            </w:r>
          </w:p>
        </w:tc>
      </w:tr>
      <w:tr w:rsidR="00FE45CA" w14:paraId="6790E8DC" w14:textId="77777777" w:rsidTr="00FE45CA">
        <w:tc>
          <w:tcPr>
            <w:tcW w:w="463" w:type="dxa"/>
            <w:tcBorders>
              <w:top w:val="nil"/>
              <w:left w:val="nil"/>
              <w:bottom w:val="nil"/>
            </w:tcBorders>
            <w:shd w:val="clear" w:color="auto" w:fill="FFFFFF"/>
          </w:tcPr>
          <w:p w14:paraId="2458C665" w14:textId="77777777" w:rsidR="00F13E57" w:rsidRPr="00FE45CA" w:rsidRDefault="00F13E57" w:rsidP="00FE45CA">
            <w:pPr>
              <w:spacing w:before="0" w:after="0" w:line="240" w:lineRule="auto"/>
              <w:jc w:val="left"/>
              <w:rPr>
                <w:i/>
                <w:iCs/>
              </w:rPr>
            </w:pPr>
          </w:p>
        </w:tc>
        <w:tc>
          <w:tcPr>
            <w:tcW w:w="2935" w:type="dxa"/>
            <w:shd w:val="clear" w:color="auto" w:fill="C6F4FF"/>
            <w:vAlign w:val="center"/>
          </w:tcPr>
          <w:p w14:paraId="7CBFD266" w14:textId="77777777" w:rsidR="00F13E57" w:rsidRPr="00956D02" w:rsidRDefault="0013325F" w:rsidP="00FE45CA">
            <w:pPr>
              <w:spacing w:before="0" w:after="0" w:line="240" w:lineRule="auto"/>
              <w:jc w:val="left"/>
              <w:rPr>
                <w:b/>
              </w:rPr>
            </w:pPr>
            <w:r w:rsidRPr="00956D02">
              <w:rPr>
                <w:b/>
              </w:rPr>
              <w:t>25</w:t>
            </w:r>
            <w:r w:rsidRPr="00956D02">
              <w:rPr>
                <w:b/>
                <w:vertAlign w:val="superscript"/>
              </w:rPr>
              <w:t>th</w:t>
            </w:r>
            <w:r w:rsidRPr="00956D02">
              <w:rPr>
                <w:b/>
              </w:rPr>
              <w:t xml:space="preserve"> – 26</w:t>
            </w:r>
            <w:r w:rsidRPr="00956D02">
              <w:rPr>
                <w:b/>
                <w:vertAlign w:val="superscript"/>
              </w:rPr>
              <w:t>th</w:t>
            </w:r>
            <w:r w:rsidRPr="00956D02">
              <w:rPr>
                <w:b/>
              </w:rPr>
              <w:t xml:space="preserve"> November </w:t>
            </w:r>
            <w:r w:rsidR="00F13E57" w:rsidRPr="00956D02">
              <w:rPr>
                <w:b/>
              </w:rPr>
              <w:t>2020</w:t>
            </w:r>
          </w:p>
        </w:tc>
        <w:tc>
          <w:tcPr>
            <w:tcW w:w="5669" w:type="dxa"/>
            <w:shd w:val="clear" w:color="auto" w:fill="C6F4FF"/>
          </w:tcPr>
          <w:p w14:paraId="65F79EB8" w14:textId="5D182C16" w:rsidR="00F13E57" w:rsidRPr="00FE45CA" w:rsidRDefault="00F13E57" w:rsidP="00956D02">
            <w:pPr>
              <w:pStyle w:val="ListParagraph"/>
              <w:numPr>
                <w:ilvl w:val="0"/>
                <w:numId w:val="3"/>
              </w:numPr>
              <w:spacing w:before="0" w:after="0" w:line="240" w:lineRule="auto"/>
              <w:ind w:left="318" w:hanging="219"/>
              <w:rPr>
                <w:sz w:val="20"/>
                <w:szCs w:val="20"/>
              </w:rPr>
            </w:pPr>
            <w:r w:rsidRPr="00FE45CA">
              <w:rPr>
                <w:rFonts w:eastAsia="Times New Roman" w:cs="Arial"/>
                <w:sz w:val="20"/>
                <w:szCs w:val="20"/>
                <w:lang w:eastAsia="en-GB"/>
              </w:rPr>
              <w:t xml:space="preserve">Presentation to the </w:t>
            </w:r>
            <w:r w:rsidR="00956D02">
              <w:rPr>
                <w:rFonts w:eastAsia="Times New Roman" w:cs="Arial"/>
                <w:sz w:val="20"/>
                <w:szCs w:val="20"/>
                <w:lang w:eastAsia="en-GB"/>
              </w:rPr>
              <w:t>SC</w:t>
            </w:r>
          </w:p>
        </w:tc>
      </w:tr>
      <w:tr w:rsidR="00FE45CA" w14:paraId="31ADBDCB" w14:textId="77777777" w:rsidTr="00FE45CA">
        <w:tc>
          <w:tcPr>
            <w:tcW w:w="463" w:type="dxa"/>
            <w:tcBorders>
              <w:top w:val="nil"/>
              <w:left w:val="nil"/>
              <w:bottom w:val="nil"/>
            </w:tcBorders>
            <w:shd w:val="clear" w:color="auto" w:fill="FFFFFF"/>
          </w:tcPr>
          <w:p w14:paraId="3D422EF7"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2F109AEA" w14:textId="77777777" w:rsidR="00F13E57" w:rsidRPr="00956D02" w:rsidRDefault="0013325F" w:rsidP="00FE45CA">
            <w:pPr>
              <w:spacing w:before="0" w:after="0" w:line="240" w:lineRule="auto"/>
              <w:jc w:val="left"/>
              <w:rPr>
                <w:b/>
              </w:rPr>
            </w:pPr>
            <w:r w:rsidRPr="00956D02">
              <w:rPr>
                <w:b/>
              </w:rPr>
              <w:t xml:space="preserve">December </w:t>
            </w:r>
            <w:r w:rsidR="00F13E57" w:rsidRPr="00956D02">
              <w:rPr>
                <w:b/>
              </w:rPr>
              <w:t>2020</w:t>
            </w:r>
          </w:p>
        </w:tc>
        <w:tc>
          <w:tcPr>
            <w:tcW w:w="5669" w:type="dxa"/>
            <w:shd w:val="clear" w:color="auto" w:fill="auto"/>
          </w:tcPr>
          <w:p w14:paraId="2B13CD0A" w14:textId="77777777" w:rsidR="00F13E57" w:rsidRPr="00FE45CA" w:rsidRDefault="00F13E57" w:rsidP="00661E91">
            <w:pPr>
              <w:pStyle w:val="ListParagraph"/>
              <w:numPr>
                <w:ilvl w:val="0"/>
                <w:numId w:val="3"/>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Publication of new prices.</w:t>
            </w:r>
          </w:p>
        </w:tc>
      </w:tr>
    </w:tbl>
    <w:p w14:paraId="24F77C70" w14:textId="08076942" w:rsidR="000C4989" w:rsidRPr="00441C77" w:rsidRDefault="00DE3C0A" w:rsidP="00441C77">
      <w:pPr>
        <w:pStyle w:val="Heading3"/>
      </w:pPr>
      <w:bookmarkStart w:id="5" w:name="_Toc50452853"/>
      <w:r w:rsidRPr="00441C77">
        <w:lastRenderedPageBreak/>
        <w:t>Next steps</w:t>
      </w:r>
      <w:bookmarkEnd w:id="5"/>
    </w:p>
    <w:p w14:paraId="1F5DD029" w14:textId="6D077DCC" w:rsidR="00DE3C0A" w:rsidRPr="000C4989" w:rsidRDefault="00DE3C0A" w:rsidP="003C3DD7">
      <w:r>
        <w:t>Following the second consultation round, we will prepare a Synopsis paper compiling the comments made, in an aggregated and anonymous form, which will be shared with all participants and be available on the Fairtrade International’s website.</w:t>
      </w:r>
    </w:p>
    <w:p w14:paraId="7156E152" w14:textId="36F43C1C" w:rsidR="009B76D9" w:rsidRPr="000B1B6A" w:rsidRDefault="009B76D9" w:rsidP="00441C77">
      <w:pPr>
        <w:pStyle w:val="Heading3"/>
      </w:pPr>
      <w:bookmarkStart w:id="6" w:name="_Toc50452854"/>
      <w:r w:rsidRPr="000B1B6A">
        <w:t xml:space="preserve">Product </w:t>
      </w:r>
      <w:r w:rsidR="000B1B6A">
        <w:t xml:space="preserve">and revision </w:t>
      </w:r>
      <w:r w:rsidRPr="000B1B6A">
        <w:t>scope</w:t>
      </w:r>
      <w:bookmarkEnd w:id="6"/>
    </w:p>
    <w:p w14:paraId="2BF75345" w14:textId="77777777" w:rsidR="00DB5EAF" w:rsidRDefault="00FF5841" w:rsidP="00FF5841">
      <w:r>
        <w:t>Th</w:t>
      </w:r>
      <w:r w:rsidR="000B1B6A">
        <w:t xml:space="preserve">is revision includes </w:t>
      </w:r>
      <w:r w:rsidR="000B1B6A" w:rsidRPr="004D48C9">
        <w:rPr>
          <w:b/>
          <w:bCs/>
        </w:rPr>
        <w:t>all type of limes</w:t>
      </w:r>
      <w:r w:rsidR="00185352">
        <w:rPr>
          <w:rStyle w:val="FootnoteReference"/>
          <w:b/>
          <w:bCs/>
        </w:rPr>
        <w:footnoteReference w:id="4"/>
      </w:r>
      <w:r w:rsidR="000B1B6A">
        <w:t>, including fresh limes, limes for juice or</w:t>
      </w:r>
      <w:r>
        <w:t xml:space="preserve"> limes for processing</w:t>
      </w:r>
      <w:r w:rsidR="00210C36">
        <w:t xml:space="preserve"> and lime juice</w:t>
      </w:r>
      <w:r>
        <w:t>.</w:t>
      </w:r>
      <w:r w:rsidR="009B76D9">
        <w:t xml:space="preserve"> </w:t>
      </w:r>
      <w:r w:rsidR="00823AB1">
        <w:t xml:space="preserve">This includes conventional and organic limes. </w:t>
      </w:r>
      <w:r w:rsidR="000B1B6A">
        <w:t xml:space="preserve">It does not include other </w:t>
      </w:r>
      <w:r w:rsidR="00F13E57">
        <w:t>citrus products like lemons or oranges</w:t>
      </w:r>
      <w:r w:rsidR="000B1B6A">
        <w:t xml:space="preserve">. </w:t>
      </w:r>
    </w:p>
    <w:p w14:paraId="19D504A1" w14:textId="4C4288DB" w:rsidR="00DB5EAF" w:rsidRDefault="000B1B6A" w:rsidP="00FF5841">
      <w:r>
        <w:t xml:space="preserve">The </w:t>
      </w:r>
      <w:r w:rsidR="00DB5EAF">
        <w:t xml:space="preserve">first </w:t>
      </w:r>
      <w:r w:rsidR="00D84FB1">
        <w:t>round</w:t>
      </w:r>
      <w:r w:rsidR="00DB5EAF">
        <w:t xml:space="preserve"> of consultation dealt with the </w:t>
      </w:r>
      <w:r>
        <w:t xml:space="preserve">revision </w:t>
      </w:r>
      <w:r w:rsidR="00DB5EAF">
        <w:t>of</w:t>
      </w:r>
      <w:r>
        <w:t xml:space="preserve"> product definitions </w:t>
      </w:r>
      <w:r w:rsidR="00F13E57">
        <w:t>for limes</w:t>
      </w:r>
      <w:r>
        <w:t xml:space="preserve"> for all stakeholders.</w:t>
      </w:r>
      <w:r w:rsidR="00DB5EAF">
        <w:t xml:space="preserve"> </w:t>
      </w:r>
      <w:r w:rsidR="00B04791">
        <w:t>As a consequence, one</w:t>
      </w:r>
      <w:r w:rsidR="00DB5EAF">
        <w:t xml:space="preserve"> proposal </w:t>
      </w:r>
      <w:r w:rsidR="00B04791">
        <w:t xml:space="preserve">for product definition has been </w:t>
      </w:r>
      <w:r w:rsidR="005F5C4C">
        <w:t>established</w:t>
      </w:r>
      <w:r w:rsidR="00DB5EAF">
        <w:t xml:space="preserve"> for limes which </w:t>
      </w:r>
      <w:r w:rsidR="00FA45A3">
        <w:t>will be submitted for the Standards Committee</w:t>
      </w:r>
      <w:r w:rsidR="00DB5EAF">
        <w:t>.</w:t>
      </w:r>
    </w:p>
    <w:p w14:paraId="32756813" w14:textId="77777777" w:rsidR="00816A1A" w:rsidRPr="00502024" w:rsidRDefault="00816A1A" w:rsidP="00441C77">
      <w:pPr>
        <w:pStyle w:val="Heading3"/>
      </w:pPr>
      <w:bookmarkStart w:id="7" w:name="_Toc50452855"/>
      <w:r w:rsidRPr="00502024">
        <w:t>This consultation</w:t>
      </w:r>
      <w:bookmarkEnd w:id="7"/>
    </w:p>
    <w:p w14:paraId="5D268082" w14:textId="5886D890" w:rsidR="00816A1A" w:rsidRDefault="00816A1A" w:rsidP="00FA2F8B">
      <w:r>
        <w:t xml:space="preserve">You are kindly invited to participate in this </w:t>
      </w:r>
      <w:r w:rsidR="008E3CD1">
        <w:t xml:space="preserve">second </w:t>
      </w:r>
      <w:r>
        <w:t xml:space="preserve">consultation reviewing the Fairtrade Prices and Premium for limes. For this purpose, we kindly ask to comment on the proposals suggested in this document and </w:t>
      </w:r>
      <w:r w:rsidR="00502024">
        <w:t xml:space="preserve">encourage you to give explanations, analysis and examples underlying your statements. </w:t>
      </w:r>
    </w:p>
    <w:p w14:paraId="291CF2BD" w14:textId="4B73CA00" w:rsidR="00502024" w:rsidRPr="008B03EC" w:rsidRDefault="00502024" w:rsidP="00FA2F8B">
      <w:pPr>
        <w:rPr>
          <w:b/>
          <w:bCs/>
        </w:rPr>
      </w:pPr>
      <w:r w:rsidRPr="00502024">
        <w:rPr>
          <w:b/>
          <w:bCs/>
        </w:rPr>
        <w:t xml:space="preserve">Please note that all information we receive by respondents will be treated with care and kept </w:t>
      </w:r>
      <w:r w:rsidRPr="008B03EC">
        <w:rPr>
          <w:b/>
          <w:bCs/>
          <w:u w:val="single"/>
        </w:rPr>
        <w:t>confidential</w:t>
      </w:r>
      <w:r w:rsidR="008444ED" w:rsidRPr="008B03EC">
        <w:rPr>
          <w:rStyle w:val="FootnoteReference"/>
          <w:b/>
        </w:rPr>
        <w:footnoteReference w:id="5"/>
      </w:r>
      <w:r w:rsidRPr="008B03EC">
        <w:rPr>
          <w:b/>
          <w:bCs/>
        </w:rPr>
        <w:t>.</w:t>
      </w:r>
    </w:p>
    <w:p w14:paraId="56990BA2" w14:textId="79D92BC2" w:rsidR="00502024" w:rsidRPr="008B03EC" w:rsidRDefault="00502024" w:rsidP="00FA2F8B">
      <w:pPr>
        <w:rPr>
          <w:b/>
          <w:bCs/>
        </w:rPr>
      </w:pPr>
      <w:r w:rsidRPr="008B03EC">
        <w:rPr>
          <w:b/>
          <w:bCs/>
        </w:rPr>
        <w:t xml:space="preserve">Please submit your comments to the Project Manager, </w:t>
      </w:r>
      <w:r w:rsidR="00F4502F" w:rsidRPr="008B03EC">
        <w:t>Eduardo Bluhm</w:t>
      </w:r>
      <w:r w:rsidR="00B33874" w:rsidRPr="008B03EC">
        <w:t xml:space="preserve"> </w:t>
      </w:r>
      <w:hyperlink r:id="rId12" w:history="1">
        <w:r w:rsidR="00B33874" w:rsidRPr="008B03EC">
          <w:rPr>
            <w:rStyle w:val="Hyperlink"/>
          </w:rPr>
          <w:t>e.bluhm@fairtrade.net</w:t>
        </w:r>
      </w:hyperlink>
      <w:r w:rsidR="00B33874" w:rsidRPr="008B03EC">
        <w:t xml:space="preserve"> </w:t>
      </w:r>
      <w:r w:rsidRPr="008B03EC">
        <w:rPr>
          <w:b/>
          <w:bCs/>
        </w:rPr>
        <w:t xml:space="preserve">, by the </w:t>
      </w:r>
      <w:r w:rsidR="003D2AD0" w:rsidRPr="008B03EC">
        <w:rPr>
          <w:b/>
          <w:bCs/>
        </w:rPr>
        <w:t>30</w:t>
      </w:r>
      <w:r w:rsidR="00B33874" w:rsidRPr="008B03EC">
        <w:rPr>
          <w:b/>
          <w:bCs/>
          <w:vertAlign w:val="superscript"/>
        </w:rPr>
        <w:t>th</w:t>
      </w:r>
      <w:r w:rsidR="00B33874" w:rsidRPr="008B03EC">
        <w:rPr>
          <w:b/>
          <w:bCs/>
        </w:rPr>
        <w:t xml:space="preserve"> </w:t>
      </w:r>
      <w:r w:rsidR="003D2AD0" w:rsidRPr="008B03EC">
        <w:rPr>
          <w:b/>
          <w:bCs/>
        </w:rPr>
        <w:t xml:space="preserve">of </w:t>
      </w:r>
      <w:r w:rsidR="00B33874" w:rsidRPr="008B03EC">
        <w:rPr>
          <w:b/>
          <w:bCs/>
        </w:rPr>
        <w:t xml:space="preserve">September </w:t>
      </w:r>
      <w:r w:rsidR="00135EA7" w:rsidRPr="008B03EC">
        <w:rPr>
          <w:b/>
          <w:bCs/>
        </w:rPr>
        <w:t>2020</w:t>
      </w:r>
      <w:r w:rsidR="001C2EE6" w:rsidRPr="008B03EC">
        <w:rPr>
          <w:b/>
          <w:bCs/>
        </w:rPr>
        <w:t>.</w:t>
      </w:r>
    </w:p>
    <w:p w14:paraId="32D1EA05" w14:textId="77777777" w:rsidR="00DB5EAF" w:rsidRPr="008B03EC" w:rsidRDefault="00DB5EAF" w:rsidP="00FA2F8B">
      <w:pPr>
        <w:rPr>
          <w:b/>
          <w:bCs/>
        </w:rPr>
      </w:pPr>
    </w:p>
    <w:p w14:paraId="486030ED" w14:textId="1231E5D2" w:rsidR="00502024" w:rsidRDefault="00502024" w:rsidP="00FA2F8B">
      <w:pPr>
        <w:rPr>
          <w:b/>
          <w:i/>
          <w:iCs/>
        </w:rPr>
      </w:pPr>
      <w:r w:rsidRPr="008B03EC">
        <w:rPr>
          <w:i/>
          <w:iCs/>
        </w:rPr>
        <w:t>This document is a “form” for that reason you can only indicate your input in the designated spaces and</w:t>
      </w:r>
      <w:r w:rsidRPr="00502024">
        <w:rPr>
          <w:i/>
          <w:iCs/>
        </w:rPr>
        <w:t xml:space="preserve"> your choices in the multiple choice’s boxes. Please send this document back in Word format (</w:t>
      </w:r>
      <w:r w:rsidRPr="00AB79E9">
        <w:rPr>
          <w:b/>
          <w:i/>
          <w:iCs/>
        </w:rPr>
        <w:t>do not convert to PDF)</w:t>
      </w:r>
    </w:p>
    <w:p w14:paraId="1F4A7139" w14:textId="77777777" w:rsidR="003D2AD0" w:rsidRPr="00502024" w:rsidRDefault="003D2AD0" w:rsidP="00FA2F8B">
      <w:pPr>
        <w:rPr>
          <w:i/>
          <w:iCs/>
        </w:rPr>
      </w:pPr>
    </w:p>
    <w:p w14:paraId="4E053EB3" w14:textId="65F5B14A" w:rsidR="001E7700" w:rsidRDefault="001E7700" w:rsidP="001D7D6C">
      <w:r>
        <w:br w:type="page"/>
      </w:r>
    </w:p>
    <w:p w14:paraId="00966AD4" w14:textId="47D85143" w:rsidR="00EE2331" w:rsidRDefault="00F12458" w:rsidP="00EE2331">
      <w:pPr>
        <w:pStyle w:val="Heading1"/>
        <w:spacing w:line="240" w:lineRule="auto"/>
        <w:ind w:left="714" w:hanging="357"/>
      </w:pPr>
      <w:bookmarkStart w:id="8" w:name="_Toc50452856"/>
      <w:r w:rsidRPr="000617F0">
        <w:lastRenderedPageBreak/>
        <w:t>Consultation</w:t>
      </w:r>
      <w:bookmarkEnd w:id="8"/>
    </w:p>
    <w:p w14:paraId="3EAFE412" w14:textId="659E3486" w:rsidR="008E5C03" w:rsidRPr="000617F0" w:rsidRDefault="0057055A" w:rsidP="00661E91">
      <w:pPr>
        <w:pStyle w:val="Heading2"/>
        <w:numPr>
          <w:ilvl w:val="1"/>
          <w:numId w:val="6"/>
        </w:numPr>
      </w:pPr>
      <w:bookmarkStart w:id="9" w:name="_Toc50452857"/>
      <w:r>
        <w:t>General</w:t>
      </w:r>
      <w:r w:rsidR="008E5C03" w:rsidRPr="000617F0">
        <w:t xml:space="preserve"> Information</w:t>
      </w:r>
      <w:bookmarkEnd w:id="9"/>
    </w:p>
    <w:tbl>
      <w:tblPr>
        <w:tblW w:w="9322" w:type="dxa"/>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Look w:val="01E0" w:firstRow="1" w:lastRow="1" w:firstColumn="1" w:lastColumn="1" w:noHBand="0" w:noVBand="0"/>
      </w:tblPr>
      <w:tblGrid>
        <w:gridCol w:w="9322"/>
      </w:tblGrid>
      <w:tr w:rsidR="005F416A" w:rsidRPr="000617F0" w14:paraId="43F5CFC6" w14:textId="77777777" w:rsidTr="00FE45CA">
        <w:trPr>
          <w:trHeight w:val="2826"/>
        </w:trPr>
        <w:tc>
          <w:tcPr>
            <w:tcW w:w="9322" w:type="dxa"/>
            <w:vAlign w:val="center"/>
          </w:tcPr>
          <w:p w14:paraId="6E8F940E" w14:textId="61905400" w:rsidR="00D00B68" w:rsidRPr="00FE45CA" w:rsidRDefault="00D00B68" w:rsidP="00913318">
            <w:pPr>
              <w:pStyle w:val="Caption"/>
              <w:spacing w:before="0" w:after="0" w:line="360" w:lineRule="auto"/>
            </w:pPr>
            <w:r w:rsidRPr="00FE45CA">
              <w:t xml:space="preserve">Question </w:t>
            </w:r>
            <w:r w:rsidRPr="00FE45CA">
              <w:fldChar w:fldCharType="begin"/>
            </w:r>
            <w:r w:rsidRPr="00FE45CA">
              <w:instrText xml:space="preserve"> SEQ Question \* ARABIC </w:instrText>
            </w:r>
            <w:r w:rsidRPr="00FE45CA">
              <w:fldChar w:fldCharType="separate"/>
            </w:r>
            <w:r w:rsidR="00956D02">
              <w:rPr>
                <w:noProof/>
              </w:rPr>
              <w:t>1</w:t>
            </w:r>
            <w:r w:rsidRPr="00FE45CA">
              <w:fldChar w:fldCharType="end"/>
            </w:r>
          </w:p>
          <w:p w14:paraId="152FC251" w14:textId="79EC30FA" w:rsidR="005F416A" w:rsidRPr="000617F0" w:rsidRDefault="005F416A" w:rsidP="00913318">
            <w:pPr>
              <w:spacing w:before="0" w:after="0"/>
            </w:pPr>
            <w:r w:rsidRPr="000617F0">
              <w:t>Please provide us with information about your organization</w:t>
            </w:r>
            <w:r w:rsidR="00D10EDE">
              <w:t xml:space="preserve">. </w:t>
            </w:r>
            <w:r w:rsidR="00D84FB1" w:rsidRPr="00D84FB1">
              <w:t>In case we require clarification, we will contact the person of reference mentioned here</w:t>
            </w:r>
            <w:r w:rsidRPr="000617F0">
              <w:t xml:space="preserve">. </w:t>
            </w:r>
          </w:p>
          <w:p w14:paraId="643E602F" w14:textId="305499E0" w:rsidR="005F416A" w:rsidRPr="000617F0" w:rsidRDefault="005F416A" w:rsidP="00913318">
            <w:pPr>
              <w:spacing w:before="0" w:after="0"/>
            </w:pPr>
            <w:r w:rsidRPr="000617F0">
              <w:t xml:space="preserve">Name of your organisation </w:t>
            </w:r>
            <w:r w:rsidRPr="000617F0">
              <w:fldChar w:fldCharType="begin">
                <w:ffData>
                  <w:name w:val="Text7"/>
                  <w:enabled/>
                  <w:calcOnExit w:val="0"/>
                  <w:textInput/>
                </w:ffData>
              </w:fldChar>
            </w:r>
            <w:r w:rsidRPr="000617F0">
              <w:instrText xml:space="preserve"> FORMTEXT </w:instrText>
            </w:r>
            <w:r w:rsidRPr="000617F0">
              <w:fldChar w:fldCharType="separate"/>
            </w:r>
            <w:r w:rsidR="00956D02">
              <w:rPr>
                <w:noProof/>
              </w:rPr>
              <w:t> </w:t>
            </w:r>
            <w:r w:rsidR="00956D02">
              <w:rPr>
                <w:noProof/>
              </w:rPr>
              <w:t> </w:t>
            </w:r>
            <w:r w:rsidR="00956D02">
              <w:rPr>
                <w:noProof/>
              </w:rPr>
              <w:t> </w:t>
            </w:r>
            <w:r w:rsidR="00956D02">
              <w:rPr>
                <w:noProof/>
              </w:rPr>
              <w:t> </w:t>
            </w:r>
            <w:r w:rsidR="00956D02">
              <w:rPr>
                <w:noProof/>
              </w:rPr>
              <w:t> </w:t>
            </w:r>
            <w:r w:rsidRPr="000617F0">
              <w:fldChar w:fldCharType="end"/>
            </w:r>
          </w:p>
          <w:p w14:paraId="47FCE535" w14:textId="6BA2A1C1" w:rsidR="005F416A" w:rsidRPr="000617F0" w:rsidRDefault="005F416A" w:rsidP="00913318">
            <w:pPr>
              <w:spacing w:before="0" w:after="0"/>
            </w:pPr>
            <w:r w:rsidRPr="000617F0">
              <w:t>Name</w:t>
            </w:r>
            <w:r w:rsidR="00802548" w:rsidRPr="000617F0">
              <w:t xml:space="preserve"> </w:t>
            </w:r>
            <w:r w:rsidRPr="000617F0">
              <w:t>of</w:t>
            </w:r>
            <w:r w:rsidR="00802548" w:rsidRPr="000617F0">
              <w:t xml:space="preserve"> contact p</w:t>
            </w:r>
            <w:r w:rsidRPr="000617F0">
              <w:t xml:space="preserve">erson </w:t>
            </w:r>
            <w:r w:rsidRPr="000617F0">
              <w:fldChar w:fldCharType="begin">
                <w:ffData>
                  <w:name w:val="Text5"/>
                  <w:enabled/>
                  <w:calcOnExit w:val="0"/>
                  <w:textInput/>
                </w:ffData>
              </w:fldChar>
            </w:r>
            <w:bookmarkStart w:id="10" w:name="Text5"/>
            <w:r w:rsidRPr="000617F0">
              <w:instrText xml:space="preserve"> FORMTEXT </w:instrText>
            </w:r>
            <w:r w:rsidRPr="000617F0">
              <w:fldChar w:fldCharType="separate"/>
            </w:r>
            <w:r w:rsidR="00956D02">
              <w:rPr>
                <w:noProof/>
              </w:rPr>
              <w:t> </w:t>
            </w:r>
            <w:r w:rsidR="00956D02">
              <w:rPr>
                <w:noProof/>
              </w:rPr>
              <w:t> </w:t>
            </w:r>
            <w:r w:rsidR="00956D02">
              <w:rPr>
                <w:noProof/>
              </w:rPr>
              <w:t> </w:t>
            </w:r>
            <w:r w:rsidR="00956D02">
              <w:rPr>
                <w:noProof/>
              </w:rPr>
              <w:t> </w:t>
            </w:r>
            <w:r w:rsidR="00956D02">
              <w:rPr>
                <w:noProof/>
              </w:rPr>
              <w:t> </w:t>
            </w:r>
            <w:r w:rsidRPr="000617F0">
              <w:fldChar w:fldCharType="end"/>
            </w:r>
            <w:bookmarkEnd w:id="10"/>
          </w:p>
          <w:p w14:paraId="4BF1FEF1" w14:textId="43AF710D" w:rsidR="00802548" w:rsidRPr="000617F0" w:rsidRDefault="005F416A" w:rsidP="00913318">
            <w:pPr>
              <w:spacing w:before="0" w:after="0"/>
            </w:pPr>
            <w:r w:rsidRPr="000617F0">
              <w:t>Email</w:t>
            </w:r>
            <w:r w:rsidR="00802548" w:rsidRPr="000617F0">
              <w:t xml:space="preserve">/phone number of contact person: </w:t>
            </w:r>
            <w:r w:rsidR="00802548" w:rsidRPr="000617F0">
              <w:fldChar w:fldCharType="begin">
                <w:ffData>
                  <w:name w:val="Text5"/>
                  <w:enabled/>
                  <w:calcOnExit w:val="0"/>
                  <w:textInput/>
                </w:ffData>
              </w:fldChar>
            </w:r>
            <w:r w:rsidR="00802548" w:rsidRPr="000617F0">
              <w:instrText xml:space="preserve"> FORMTEXT </w:instrText>
            </w:r>
            <w:r w:rsidR="00802548" w:rsidRPr="000617F0">
              <w:fldChar w:fldCharType="separate"/>
            </w:r>
            <w:r w:rsidR="00956D02">
              <w:rPr>
                <w:noProof/>
              </w:rPr>
              <w:t> </w:t>
            </w:r>
            <w:r w:rsidR="00956D02">
              <w:rPr>
                <w:noProof/>
              </w:rPr>
              <w:t> </w:t>
            </w:r>
            <w:r w:rsidR="00956D02">
              <w:rPr>
                <w:noProof/>
              </w:rPr>
              <w:t> </w:t>
            </w:r>
            <w:r w:rsidR="00956D02">
              <w:rPr>
                <w:noProof/>
              </w:rPr>
              <w:t> </w:t>
            </w:r>
            <w:r w:rsidR="00956D02">
              <w:rPr>
                <w:noProof/>
              </w:rPr>
              <w:t> </w:t>
            </w:r>
            <w:r w:rsidR="00802548" w:rsidRPr="000617F0">
              <w:fldChar w:fldCharType="end"/>
            </w:r>
          </w:p>
          <w:p w14:paraId="1DCE317B" w14:textId="1DDD0521" w:rsidR="005F416A" w:rsidRPr="000617F0" w:rsidRDefault="005F416A" w:rsidP="00913318">
            <w:pPr>
              <w:spacing w:before="0" w:after="0"/>
            </w:pPr>
            <w:r w:rsidRPr="000617F0">
              <w:t xml:space="preserve">Country </w:t>
            </w:r>
            <w:r w:rsidRPr="000617F0">
              <w:fldChar w:fldCharType="begin">
                <w:ffData>
                  <w:name w:val="Text7"/>
                  <w:enabled/>
                  <w:calcOnExit w:val="0"/>
                  <w:textInput/>
                </w:ffData>
              </w:fldChar>
            </w:r>
            <w:bookmarkStart w:id="11" w:name="Text7"/>
            <w:r w:rsidRPr="000617F0">
              <w:instrText xml:space="preserve"> FORMTEXT </w:instrText>
            </w:r>
            <w:r w:rsidRPr="000617F0">
              <w:fldChar w:fldCharType="separate"/>
            </w:r>
            <w:r w:rsidR="00956D02">
              <w:rPr>
                <w:noProof/>
              </w:rPr>
              <w:t> </w:t>
            </w:r>
            <w:r w:rsidR="00956D02">
              <w:rPr>
                <w:noProof/>
              </w:rPr>
              <w:t> </w:t>
            </w:r>
            <w:r w:rsidR="00956D02">
              <w:rPr>
                <w:noProof/>
              </w:rPr>
              <w:t> </w:t>
            </w:r>
            <w:r w:rsidR="00956D02">
              <w:rPr>
                <w:noProof/>
              </w:rPr>
              <w:t> </w:t>
            </w:r>
            <w:r w:rsidR="00956D02">
              <w:rPr>
                <w:noProof/>
              </w:rPr>
              <w:t> </w:t>
            </w:r>
            <w:r w:rsidRPr="000617F0">
              <w:fldChar w:fldCharType="end"/>
            </w:r>
            <w:bookmarkEnd w:id="11"/>
          </w:p>
          <w:p w14:paraId="0A4CEB91" w14:textId="6A4E9E38" w:rsidR="005F416A" w:rsidRPr="000617F0" w:rsidRDefault="005F416A" w:rsidP="00913318">
            <w:pPr>
              <w:spacing w:before="0" w:after="0"/>
            </w:pPr>
            <w:r w:rsidRPr="000617F0">
              <w:t xml:space="preserve">FLO ID </w:t>
            </w:r>
            <w:r w:rsidRPr="000617F0">
              <w:fldChar w:fldCharType="begin">
                <w:ffData>
                  <w:name w:val="Text7"/>
                  <w:enabled/>
                  <w:calcOnExit w:val="0"/>
                  <w:textInput/>
                </w:ffData>
              </w:fldChar>
            </w:r>
            <w:r w:rsidRPr="000617F0">
              <w:instrText xml:space="preserve"> FORMTEXT </w:instrText>
            </w:r>
            <w:r w:rsidRPr="000617F0">
              <w:fldChar w:fldCharType="separate"/>
            </w:r>
            <w:r w:rsidR="00956D02">
              <w:rPr>
                <w:noProof/>
              </w:rPr>
              <w:t> </w:t>
            </w:r>
            <w:r w:rsidR="00956D02">
              <w:rPr>
                <w:noProof/>
              </w:rPr>
              <w:t> </w:t>
            </w:r>
            <w:r w:rsidR="00956D02">
              <w:rPr>
                <w:noProof/>
              </w:rPr>
              <w:t> </w:t>
            </w:r>
            <w:r w:rsidR="00956D02">
              <w:rPr>
                <w:noProof/>
              </w:rPr>
              <w:t> </w:t>
            </w:r>
            <w:r w:rsidR="00956D02">
              <w:rPr>
                <w:noProof/>
              </w:rPr>
              <w:t> </w:t>
            </w:r>
            <w:r w:rsidRPr="000617F0">
              <w:fldChar w:fldCharType="end"/>
            </w:r>
          </w:p>
        </w:tc>
      </w:tr>
      <w:tr w:rsidR="005F416A" w:rsidRPr="000617F0" w14:paraId="029D0677" w14:textId="77777777" w:rsidTr="00FE45CA">
        <w:trPr>
          <w:trHeight w:val="1477"/>
        </w:trPr>
        <w:tc>
          <w:tcPr>
            <w:tcW w:w="9322" w:type="dxa"/>
          </w:tcPr>
          <w:p w14:paraId="4830BE50" w14:textId="675BE3C8" w:rsidR="00D00B68" w:rsidRPr="00FE45CA" w:rsidRDefault="00D00B68" w:rsidP="00913318">
            <w:pPr>
              <w:pStyle w:val="Caption"/>
              <w:spacing w:before="0" w:after="0" w:line="360" w:lineRule="auto"/>
            </w:pPr>
            <w:r w:rsidRPr="00FE45CA">
              <w:t xml:space="preserve">Question </w:t>
            </w:r>
            <w:r w:rsidRPr="00FE45CA">
              <w:fldChar w:fldCharType="begin"/>
            </w:r>
            <w:r w:rsidRPr="00FE45CA">
              <w:instrText xml:space="preserve"> SEQ Question \* ARABIC </w:instrText>
            </w:r>
            <w:r w:rsidRPr="00FE45CA">
              <w:fldChar w:fldCharType="separate"/>
            </w:r>
            <w:r w:rsidR="00956D02">
              <w:rPr>
                <w:noProof/>
              </w:rPr>
              <w:t>2</w:t>
            </w:r>
            <w:r w:rsidRPr="00FE45CA">
              <w:fldChar w:fldCharType="end"/>
            </w:r>
          </w:p>
          <w:p w14:paraId="1101E5AC" w14:textId="77777777" w:rsidR="005F416A" w:rsidRPr="000617F0" w:rsidRDefault="005F416A" w:rsidP="00913318">
            <w:pPr>
              <w:spacing w:before="0" w:after="0"/>
            </w:pPr>
            <w:r w:rsidRPr="000617F0">
              <w:t>What is your responsibility in the supply chain? Please tick all applicable boxes</w:t>
            </w:r>
          </w:p>
          <w:p w14:paraId="10D4AC76" w14:textId="77777777" w:rsidR="00AC0323" w:rsidRDefault="005F416A" w:rsidP="00913318">
            <w:pPr>
              <w:spacing w:before="0" w:after="0"/>
              <w:jc w:val="left"/>
            </w:pPr>
            <w:r w:rsidRPr="000617F0">
              <w:fldChar w:fldCharType="begin">
                <w:ffData>
                  <w:name w:val="Check1"/>
                  <w:enabled/>
                  <w:calcOnExit w:val="0"/>
                  <w:checkBox>
                    <w:sizeAuto/>
                    <w:default w:val="0"/>
                  </w:checkBox>
                </w:ffData>
              </w:fldChar>
            </w:r>
            <w:bookmarkStart w:id="12" w:name="Check1"/>
            <w:r w:rsidRPr="000617F0">
              <w:instrText xml:space="preserve"> FORMCHECKBOX </w:instrText>
            </w:r>
            <w:r w:rsidR="00706B92">
              <w:fldChar w:fldCharType="separate"/>
            </w:r>
            <w:r w:rsidRPr="000617F0">
              <w:fldChar w:fldCharType="end"/>
            </w:r>
            <w:bookmarkEnd w:id="12"/>
            <w:r w:rsidR="00AC0323">
              <w:t xml:space="preserve"> Producer</w:t>
            </w:r>
            <w:r w:rsidR="00AC0323">
              <w:tab/>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Exporter</w:t>
            </w:r>
            <w:r w:rsidR="00AC0323">
              <w:t xml:space="preserve"> </w:t>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Importer</w:t>
            </w:r>
            <w:r w:rsidR="00AC0323">
              <w:tab/>
            </w:r>
          </w:p>
          <w:p w14:paraId="49E8EE74" w14:textId="77777777" w:rsidR="005F416A" w:rsidRPr="000617F0" w:rsidRDefault="005F416A" w:rsidP="00913318">
            <w:pPr>
              <w:spacing w:before="0" w:after="0"/>
              <w:jc w:val="left"/>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Processor</w:t>
            </w:r>
            <w:r w:rsidR="00AC0323">
              <w:t xml:space="preserve"> </w:t>
            </w:r>
            <w:r w:rsidR="00AC0323">
              <w:tab/>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Licensee</w:t>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Fairtrade system staff</w:t>
            </w:r>
            <w:r w:rsidR="00AC0323">
              <w:rPr>
                <w:rStyle w:val="FootnoteReference"/>
              </w:rPr>
              <w:footnoteReference w:id="6"/>
            </w:r>
          </w:p>
          <w:p w14:paraId="0810ABD7" w14:textId="33733252" w:rsidR="005F416A" w:rsidRPr="000617F0" w:rsidRDefault="005F416A" w:rsidP="00913318">
            <w:pPr>
              <w:spacing w:before="0" w:after="0"/>
              <w:jc w:val="left"/>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00802548" w:rsidRPr="000617F0">
              <w:t xml:space="preserve"> Other, </w:t>
            </w:r>
            <w:r w:rsidRPr="000617F0">
              <w:t>please specify</w:t>
            </w:r>
            <w:r w:rsidR="00802548" w:rsidRPr="000617F0">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956D02">
              <w:rPr>
                <w:noProof/>
              </w:rPr>
              <w:t> </w:t>
            </w:r>
            <w:r w:rsidR="00956D02">
              <w:rPr>
                <w:noProof/>
              </w:rPr>
              <w:t> </w:t>
            </w:r>
            <w:r w:rsidR="00956D02">
              <w:rPr>
                <w:noProof/>
              </w:rPr>
              <w:t> </w:t>
            </w:r>
            <w:r w:rsidR="00956D02">
              <w:rPr>
                <w:noProof/>
              </w:rPr>
              <w:t> </w:t>
            </w:r>
            <w:r w:rsidR="00956D02">
              <w:rPr>
                <w:noProof/>
              </w:rPr>
              <w:t> </w:t>
            </w:r>
            <w:r w:rsidRPr="000617F0">
              <w:fldChar w:fldCharType="end"/>
            </w:r>
          </w:p>
        </w:tc>
      </w:tr>
      <w:tr w:rsidR="00C8100E" w:rsidRPr="000617F0" w14:paraId="6726FC78" w14:textId="77777777" w:rsidTr="00FE45CA">
        <w:trPr>
          <w:trHeight w:val="611"/>
        </w:trPr>
        <w:tc>
          <w:tcPr>
            <w:tcW w:w="9322" w:type="dxa"/>
          </w:tcPr>
          <w:p w14:paraId="63545C78" w14:textId="40BB2B78" w:rsidR="00913318" w:rsidRPr="00FE45CA" w:rsidRDefault="00C8100E" w:rsidP="00913318">
            <w:pPr>
              <w:pStyle w:val="Caption"/>
              <w:spacing w:before="0" w:after="0" w:line="360" w:lineRule="auto"/>
            </w:pPr>
            <w:r w:rsidRPr="00FE45CA">
              <w:t xml:space="preserve">Question </w:t>
            </w:r>
            <w:r w:rsidRPr="00FE45CA">
              <w:fldChar w:fldCharType="begin"/>
            </w:r>
            <w:r w:rsidRPr="00FE45CA">
              <w:instrText xml:space="preserve"> SEQ Question \* ARABIC </w:instrText>
            </w:r>
            <w:r w:rsidRPr="00FE45CA">
              <w:fldChar w:fldCharType="separate"/>
            </w:r>
            <w:r w:rsidR="00956D02">
              <w:rPr>
                <w:noProof/>
              </w:rPr>
              <w:t>3</w:t>
            </w:r>
            <w:r w:rsidRPr="00FE45CA">
              <w:fldChar w:fldCharType="end"/>
            </w:r>
          </w:p>
          <w:p w14:paraId="366C4195" w14:textId="77777777" w:rsidR="00C8100E" w:rsidRDefault="00AC0323" w:rsidP="00913318">
            <w:pPr>
              <w:spacing w:before="0" w:after="0"/>
            </w:pPr>
            <w:r>
              <w:t>W</w:t>
            </w:r>
            <w:r w:rsidR="00C8100E">
              <w:t>hich form do you buy</w:t>
            </w:r>
            <w:r w:rsidR="00F00EA3">
              <w:t xml:space="preserve"> </w:t>
            </w:r>
            <w:r w:rsidR="00913318">
              <w:t>or sell</w:t>
            </w:r>
            <w:r w:rsidR="00C8100E">
              <w:t xml:space="preserve"> </w:t>
            </w:r>
            <w:r>
              <w:t>Fairtrade limes</w:t>
            </w:r>
            <w:r w:rsidR="00C8100E">
              <w:t>?</w:t>
            </w:r>
          </w:p>
          <w:p w14:paraId="721CD0BC" w14:textId="77777777" w:rsidR="00C8100E" w:rsidRDefault="00C8100E"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t>Fresh</w:t>
            </w:r>
            <w:r w:rsidRPr="000617F0">
              <w:t xml:space="preserve"> </w:t>
            </w:r>
            <w:r>
              <w:t>for direct consumption</w:t>
            </w:r>
            <w:r w:rsidR="00F00EA3">
              <w:t xml:space="preserve"> </w:t>
            </w:r>
            <w:r w:rsidR="00F00EA3">
              <w:tab/>
            </w:r>
            <w:r w:rsidR="00F00EA3">
              <w:tab/>
              <w:t xml:space="preserve">Indicate if you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706B92">
              <w:fldChar w:fldCharType="separate"/>
            </w:r>
            <w:r w:rsidR="00F00EA3" w:rsidRPr="000617F0">
              <w:fldChar w:fldCharType="end"/>
            </w:r>
            <w:r w:rsidR="00F00EA3">
              <w:t xml:space="preserve">Buy or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706B92">
              <w:fldChar w:fldCharType="separate"/>
            </w:r>
            <w:r w:rsidR="00F00EA3" w:rsidRPr="000617F0">
              <w:fldChar w:fldCharType="end"/>
            </w:r>
            <w:r w:rsidR="00F00EA3">
              <w:t>Sell</w:t>
            </w:r>
          </w:p>
          <w:p w14:paraId="5680B3CE" w14:textId="77777777" w:rsidR="00381AB3" w:rsidRDefault="00C8100E"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rsidR="00AC0323">
              <w:t>F</w:t>
            </w:r>
            <w:r>
              <w:t>resh for processing</w:t>
            </w:r>
            <w:r w:rsidR="00F00EA3">
              <w:t xml:space="preserve"> </w:t>
            </w:r>
            <w:r w:rsidR="00F00EA3">
              <w:tab/>
            </w:r>
            <w:r w:rsidR="00F00EA3">
              <w:tab/>
            </w:r>
            <w:r w:rsidR="00F00EA3">
              <w:tab/>
              <w:t xml:space="preserve">Indicate if you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706B92">
              <w:fldChar w:fldCharType="separate"/>
            </w:r>
            <w:r w:rsidR="00F00EA3" w:rsidRPr="000617F0">
              <w:fldChar w:fldCharType="end"/>
            </w:r>
            <w:r w:rsidR="00F00EA3">
              <w:t xml:space="preserve">Buy or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706B92">
              <w:fldChar w:fldCharType="separate"/>
            </w:r>
            <w:r w:rsidR="00F00EA3" w:rsidRPr="000617F0">
              <w:fldChar w:fldCharType="end"/>
            </w:r>
            <w:r w:rsidR="00F00EA3">
              <w:t>Sell</w:t>
            </w:r>
          </w:p>
          <w:p w14:paraId="227EDB40" w14:textId="77777777" w:rsidR="00C8100E" w:rsidRDefault="00C8100E"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rsidR="00AC0323">
              <w:t>J</w:t>
            </w:r>
            <w:r>
              <w:t>uice</w:t>
            </w:r>
            <w:r w:rsidR="00F00EA3">
              <w:tab/>
            </w:r>
            <w:r w:rsidR="00F00EA3">
              <w:tab/>
            </w:r>
            <w:r w:rsidR="00F00EA3">
              <w:tab/>
            </w:r>
            <w:r w:rsidR="00F00EA3">
              <w:tab/>
            </w:r>
            <w:r w:rsidR="00F00EA3">
              <w:tab/>
              <w:t xml:space="preserve">Indicate if you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706B92">
              <w:fldChar w:fldCharType="separate"/>
            </w:r>
            <w:r w:rsidR="00F00EA3" w:rsidRPr="000617F0">
              <w:fldChar w:fldCharType="end"/>
            </w:r>
            <w:r w:rsidR="00F00EA3">
              <w:t xml:space="preserve">Buy or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706B92">
              <w:fldChar w:fldCharType="separate"/>
            </w:r>
            <w:r w:rsidR="00F00EA3" w:rsidRPr="000617F0">
              <w:fldChar w:fldCharType="end"/>
            </w:r>
            <w:r w:rsidR="00F00EA3">
              <w:t>Sell</w:t>
            </w:r>
          </w:p>
          <w:p w14:paraId="3FE37B18" w14:textId="20912D44" w:rsidR="00C8100E" w:rsidRDefault="00C8100E" w:rsidP="00F00EA3">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t xml:space="preserve">other, </w:t>
            </w:r>
            <w:r w:rsidRPr="000617F0">
              <w:t xml:space="preserve">please specify: </w:t>
            </w:r>
            <w:r w:rsidRPr="000617F0">
              <w:fldChar w:fldCharType="begin">
                <w:ffData>
                  <w:name w:val="Text7"/>
                  <w:enabled/>
                  <w:calcOnExit w:val="0"/>
                  <w:textInput/>
                </w:ffData>
              </w:fldChar>
            </w:r>
            <w:r w:rsidRPr="000617F0">
              <w:instrText xml:space="preserve"> FORMTEXT </w:instrText>
            </w:r>
            <w:r w:rsidRPr="000617F0">
              <w:fldChar w:fldCharType="separate"/>
            </w:r>
            <w:r w:rsidR="00956D02">
              <w:rPr>
                <w:noProof/>
              </w:rPr>
              <w:t> </w:t>
            </w:r>
            <w:r w:rsidR="00956D02">
              <w:rPr>
                <w:noProof/>
              </w:rPr>
              <w:t> </w:t>
            </w:r>
            <w:r w:rsidR="00956D02">
              <w:rPr>
                <w:noProof/>
              </w:rPr>
              <w:t> </w:t>
            </w:r>
            <w:r w:rsidR="00956D02">
              <w:rPr>
                <w:noProof/>
              </w:rPr>
              <w:t> </w:t>
            </w:r>
            <w:r w:rsidR="00956D02">
              <w:rPr>
                <w:noProof/>
              </w:rPr>
              <w:t> </w:t>
            </w:r>
            <w:r w:rsidRPr="000617F0">
              <w:fldChar w:fldCharType="end"/>
            </w:r>
            <w:r w:rsidR="00F00EA3">
              <w:tab/>
            </w:r>
            <w:r w:rsidR="00F00EA3">
              <w:tab/>
            </w:r>
            <w:r w:rsidR="00F00EA3">
              <w:tab/>
              <w:t xml:space="preserve">Indicate if you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706B92">
              <w:fldChar w:fldCharType="separate"/>
            </w:r>
            <w:r w:rsidR="00F00EA3" w:rsidRPr="000617F0">
              <w:fldChar w:fldCharType="end"/>
            </w:r>
            <w:r w:rsidR="00F00EA3">
              <w:t xml:space="preserve">Buy or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706B92">
              <w:fldChar w:fldCharType="separate"/>
            </w:r>
            <w:r w:rsidR="00F00EA3" w:rsidRPr="000617F0">
              <w:fldChar w:fldCharType="end"/>
            </w:r>
            <w:r w:rsidR="00F00EA3">
              <w:t>Sell</w:t>
            </w:r>
          </w:p>
          <w:p w14:paraId="77ADF1ED" w14:textId="5AD6E358" w:rsidR="008666AF" w:rsidRDefault="008666AF" w:rsidP="00F00EA3">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t xml:space="preserve"> not applicable</w:t>
            </w:r>
          </w:p>
        </w:tc>
      </w:tr>
      <w:tr w:rsidR="00F13E57" w:rsidRPr="000617F0" w14:paraId="7128BF0D" w14:textId="77777777" w:rsidTr="00FE45CA">
        <w:trPr>
          <w:trHeight w:val="2595"/>
        </w:trPr>
        <w:tc>
          <w:tcPr>
            <w:tcW w:w="9322" w:type="dxa"/>
          </w:tcPr>
          <w:p w14:paraId="5DB06CAC" w14:textId="1378D4E0" w:rsidR="00F13E57" w:rsidRPr="00FE45CA" w:rsidRDefault="00F13E57" w:rsidP="00913318">
            <w:pPr>
              <w:pStyle w:val="Caption"/>
              <w:spacing w:before="0" w:after="0" w:line="360" w:lineRule="auto"/>
            </w:pPr>
            <w:r w:rsidRPr="00FE45CA">
              <w:t xml:space="preserve">Question </w:t>
            </w:r>
            <w:r w:rsidRPr="00FE45CA">
              <w:fldChar w:fldCharType="begin"/>
            </w:r>
            <w:r w:rsidRPr="00FE45CA">
              <w:instrText xml:space="preserve"> SEQ Question \* ARABIC </w:instrText>
            </w:r>
            <w:r w:rsidRPr="00FE45CA">
              <w:fldChar w:fldCharType="separate"/>
            </w:r>
            <w:r w:rsidR="00956D02">
              <w:rPr>
                <w:noProof/>
              </w:rPr>
              <w:t>4</w:t>
            </w:r>
            <w:r w:rsidRPr="00FE45CA">
              <w:fldChar w:fldCharType="end"/>
            </w:r>
          </w:p>
          <w:p w14:paraId="5445DD99" w14:textId="77777777" w:rsidR="00F13E57" w:rsidRDefault="00F13E57" w:rsidP="00913318">
            <w:pPr>
              <w:spacing w:before="0" w:after="0"/>
            </w:pPr>
            <w:r>
              <w:t>From which country do you buy</w:t>
            </w:r>
            <w:r w:rsidR="00254D51">
              <w:t xml:space="preserve"> FAIRTRADE</w:t>
            </w:r>
            <w:r>
              <w:t xml:space="preserve"> limes?</w:t>
            </w:r>
          </w:p>
          <w:p w14:paraId="17530BA1" w14:textId="77777777" w:rsidR="00F13E57" w:rsidRPr="000617F0" w:rsidRDefault="00F13E57"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t>Mexico</w:t>
            </w:r>
          </w:p>
          <w:p w14:paraId="67F1D92E" w14:textId="77777777" w:rsidR="00F13E57" w:rsidRPr="000617F0" w:rsidRDefault="00F13E57"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t>Sri Lanka</w:t>
            </w:r>
          </w:p>
          <w:p w14:paraId="4425B4AB" w14:textId="77777777" w:rsidR="00F13E57" w:rsidRPr="000617F0" w:rsidRDefault="00F13E57"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t>Bra</w:t>
            </w:r>
            <w:r w:rsidR="00C8100E">
              <w:t>z</w:t>
            </w:r>
            <w:r>
              <w:t>il</w:t>
            </w:r>
          </w:p>
          <w:p w14:paraId="7590E0BB" w14:textId="04345C56" w:rsidR="00F13E57" w:rsidRDefault="00F13E57"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t>Other</w:t>
            </w:r>
            <w:r w:rsidR="00254D51" w:rsidRPr="000617F0">
              <w:t xml:space="preserve">, please specify: </w:t>
            </w:r>
            <w:r w:rsidR="00254D51" w:rsidRPr="000617F0">
              <w:fldChar w:fldCharType="begin">
                <w:ffData>
                  <w:name w:val="Text7"/>
                  <w:enabled/>
                  <w:calcOnExit w:val="0"/>
                  <w:textInput/>
                </w:ffData>
              </w:fldChar>
            </w:r>
            <w:r w:rsidR="00254D51" w:rsidRPr="000617F0">
              <w:instrText xml:space="preserve"> FORMTEXT </w:instrText>
            </w:r>
            <w:r w:rsidR="00254D51" w:rsidRPr="000617F0">
              <w:fldChar w:fldCharType="separate"/>
            </w:r>
            <w:r w:rsidR="00956D02">
              <w:rPr>
                <w:noProof/>
              </w:rPr>
              <w:t> </w:t>
            </w:r>
            <w:r w:rsidR="00956D02">
              <w:rPr>
                <w:noProof/>
              </w:rPr>
              <w:t> </w:t>
            </w:r>
            <w:r w:rsidR="00956D02">
              <w:rPr>
                <w:noProof/>
              </w:rPr>
              <w:t> </w:t>
            </w:r>
            <w:r w:rsidR="00956D02">
              <w:rPr>
                <w:noProof/>
              </w:rPr>
              <w:t> </w:t>
            </w:r>
            <w:r w:rsidR="00956D02">
              <w:rPr>
                <w:noProof/>
              </w:rPr>
              <w:t> </w:t>
            </w:r>
            <w:r w:rsidR="00254D51" w:rsidRPr="000617F0">
              <w:fldChar w:fldCharType="end"/>
            </w:r>
          </w:p>
          <w:p w14:paraId="520A5341" w14:textId="77777777" w:rsidR="00913318" w:rsidRPr="00F13E57" w:rsidRDefault="00913318"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t>Not applicable</w:t>
            </w:r>
          </w:p>
        </w:tc>
      </w:tr>
    </w:tbl>
    <w:p w14:paraId="47749369" w14:textId="77777777" w:rsidR="00F00EA3" w:rsidRDefault="00F00EA3">
      <w:pPr>
        <w:spacing w:before="0" w:after="0" w:line="240" w:lineRule="auto"/>
        <w:jc w:val="left"/>
      </w:pPr>
    </w:p>
    <w:p w14:paraId="5E4802D4" w14:textId="77777777" w:rsidR="00D768DB" w:rsidRDefault="00D768DB">
      <w:pPr>
        <w:spacing w:before="0" w:after="0" w:line="240" w:lineRule="auto"/>
        <w:jc w:val="left"/>
      </w:pPr>
    </w:p>
    <w:p w14:paraId="0BA15723" w14:textId="77777777" w:rsidR="00D51EEE" w:rsidRDefault="00D51EEE">
      <w:pPr>
        <w:spacing w:before="0" w:after="0" w:line="240" w:lineRule="auto"/>
        <w:jc w:val="left"/>
      </w:pPr>
      <w:r>
        <w:br w:type="page"/>
      </w:r>
    </w:p>
    <w:p w14:paraId="6B37C400" w14:textId="0F036B55" w:rsidR="00410CEC" w:rsidRDefault="00441C77" w:rsidP="00661E91">
      <w:pPr>
        <w:pStyle w:val="Heading2"/>
        <w:numPr>
          <w:ilvl w:val="1"/>
          <w:numId w:val="6"/>
        </w:numPr>
      </w:pPr>
      <w:bookmarkStart w:id="13" w:name="_Toc50452858"/>
      <w:r>
        <w:lastRenderedPageBreak/>
        <w:t>P</w:t>
      </w:r>
      <w:r w:rsidR="00E90457">
        <w:t>roposals for updating the FMP and FP for limes</w:t>
      </w:r>
      <w:bookmarkEnd w:id="13"/>
    </w:p>
    <w:p w14:paraId="7F27791D" w14:textId="473098D3" w:rsidR="00FB3165" w:rsidRDefault="000052D4" w:rsidP="003D2AD0">
      <w:r>
        <w:t>Considering the</w:t>
      </w:r>
      <w:r w:rsidR="00FB3165">
        <w:t xml:space="preserve"> responses from the first consultation</w:t>
      </w:r>
      <w:r w:rsidR="00E90457">
        <w:t xml:space="preserve"> and the COSP research</w:t>
      </w:r>
      <w:r w:rsidR="00FB3165">
        <w:t xml:space="preserve"> Fairtrade International proposes the following table:</w:t>
      </w:r>
    </w:p>
    <w:tbl>
      <w:tblPr>
        <w:tblW w:w="10395" w:type="dxa"/>
        <w:jc w:val="center"/>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Layout w:type="fixed"/>
        <w:tblLook w:val="04A0" w:firstRow="1" w:lastRow="0" w:firstColumn="1" w:lastColumn="0" w:noHBand="0" w:noVBand="1"/>
      </w:tblPr>
      <w:tblGrid>
        <w:gridCol w:w="988"/>
        <w:gridCol w:w="988"/>
        <w:gridCol w:w="1422"/>
        <w:gridCol w:w="1417"/>
        <w:gridCol w:w="2268"/>
        <w:gridCol w:w="992"/>
        <w:gridCol w:w="992"/>
        <w:gridCol w:w="1328"/>
      </w:tblGrid>
      <w:tr w:rsidR="00441C77" w:rsidRPr="00FB0E4B" w14:paraId="35A7FDAD" w14:textId="77777777" w:rsidTr="00E80B6C">
        <w:trPr>
          <w:trHeight w:val="170"/>
          <w:jc w:val="center"/>
        </w:trPr>
        <w:tc>
          <w:tcPr>
            <w:tcW w:w="988" w:type="dxa"/>
            <w:tcBorders>
              <w:top w:val="single" w:sz="4" w:space="0" w:color="BED600"/>
              <w:left w:val="single" w:sz="4" w:space="0" w:color="BED600"/>
              <w:bottom w:val="single" w:sz="4" w:space="0" w:color="BED600"/>
              <w:right w:val="nil"/>
            </w:tcBorders>
            <w:shd w:val="clear" w:color="auto" w:fill="92D050"/>
          </w:tcPr>
          <w:p w14:paraId="666CFC75" w14:textId="13033832" w:rsidR="00441C77" w:rsidRPr="00FB0E4B" w:rsidRDefault="00441C77" w:rsidP="00FB0E4B">
            <w:pPr>
              <w:spacing w:before="0" w:after="0" w:line="240" w:lineRule="auto"/>
              <w:rPr>
                <w:b/>
                <w:bCs/>
                <w:color w:val="FFFFFF"/>
                <w:sz w:val="18"/>
                <w:szCs w:val="18"/>
                <w:lang w:val="en-US" w:eastAsia="en-US"/>
              </w:rPr>
            </w:pPr>
            <w:r w:rsidRPr="00FB0E4B">
              <w:rPr>
                <w:b/>
                <w:bCs/>
                <w:color w:val="FFFFFF"/>
                <w:sz w:val="18"/>
                <w:szCs w:val="18"/>
                <w:lang w:val="en-US" w:eastAsia="en-US"/>
              </w:rPr>
              <w:t>Product specific standard</w:t>
            </w:r>
          </w:p>
        </w:tc>
        <w:tc>
          <w:tcPr>
            <w:tcW w:w="988" w:type="dxa"/>
            <w:tcBorders>
              <w:top w:val="single" w:sz="4" w:space="0" w:color="BED600"/>
              <w:left w:val="single" w:sz="4" w:space="0" w:color="BED600"/>
              <w:bottom w:val="single" w:sz="4" w:space="0" w:color="BED600"/>
              <w:right w:val="nil"/>
            </w:tcBorders>
            <w:shd w:val="clear" w:color="auto" w:fill="92D050"/>
            <w:vAlign w:val="center"/>
            <w:hideMark/>
          </w:tcPr>
          <w:p w14:paraId="6CAE54CE" w14:textId="03C6385D"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Product</w:t>
            </w:r>
          </w:p>
        </w:tc>
        <w:tc>
          <w:tcPr>
            <w:tcW w:w="1422" w:type="dxa"/>
            <w:tcBorders>
              <w:top w:val="single" w:sz="4" w:space="0" w:color="BED600"/>
              <w:left w:val="nil"/>
              <w:bottom w:val="single" w:sz="4" w:space="0" w:color="BED600"/>
              <w:right w:val="nil"/>
            </w:tcBorders>
            <w:shd w:val="clear" w:color="auto" w:fill="92D050"/>
            <w:vAlign w:val="center"/>
            <w:hideMark/>
          </w:tcPr>
          <w:p w14:paraId="76F85001" w14:textId="77777777"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Form</w:t>
            </w:r>
          </w:p>
        </w:tc>
        <w:tc>
          <w:tcPr>
            <w:tcW w:w="1417" w:type="dxa"/>
            <w:tcBorders>
              <w:top w:val="single" w:sz="4" w:space="0" w:color="BED600"/>
              <w:left w:val="nil"/>
              <w:bottom w:val="single" w:sz="4" w:space="0" w:color="BED600"/>
              <w:right w:val="nil"/>
            </w:tcBorders>
            <w:shd w:val="clear" w:color="auto" w:fill="92D050"/>
            <w:vAlign w:val="center"/>
            <w:hideMark/>
          </w:tcPr>
          <w:p w14:paraId="2F22293B" w14:textId="77777777"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Quality</w:t>
            </w:r>
          </w:p>
        </w:tc>
        <w:tc>
          <w:tcPr>
            <w:tcW w:w="2268" w:type="dxa"/>
            <w:tcBorders>
              <w:top w:val="single" w:sz="4" w:space="0" w:color="BED600"/>
              <w:left w:val="nil"/>
              <w:bottom w:val="single" w:sz="4" w:space="0" w:color="BED600"/>
              <w:right w:val="nil"/>
            </w:tcBorders>
            <w:shd w:val="clear" w:color="auto" w:fill="92D050"/>
            <w:vAlign w:val="center"/>
            <w:hideMark/>
          </w:tcPr>
          <w:p w14:paraId="4C948171" w14:textId="77777777"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Country</w:t>
            </w:r>
          </w:p>
        </w:tc>
        <w:tc>
          <w:tcPr>
            <w:tcW w:w="992" w:type="dxa"/>
            <w:tcBorders>
              <w:top w:val="single" w:sz="4" w:space="0" w:color="BED600"/>
              <w:left w:val="nil"/>
              <w:bottom w:val="single" w:sz="4" w:space="0" w:color="BED600"/>
              <w:right w:val="nil"/>
            </w:tcBorders>
            <w:shd w:val="clear" w:color="auto" w:fill="92D050"/>
            <w:vAlign w:val="center"/>
            <w:hideMark/>
          </w:tcPr>
          <w:p w14:paraId="65333A3A" w14:textId="77777777"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Price level</w:t>
            </w:r>
          </w:p>
        </w:tc>
        <w:tc>
          <w:tcPr>
            <w:tcW w:w="992" w:type="dxa"/>
            <w:tcBorders>
              <w:top w:val="single" w:sz="4" w:space="0" w:color="BED600"/>
              <w:left w:val="nil"/>
              <w:bottom w:val="single" w:sz="4" w:space="0" w:color="BED600"/>
              <w:right w:val="nil"/>
            </w:tcBorders>
            <w:shd w:val="clear" w:color="auto" w:fill="92D050"/>
            <w:vAlign w:val="center"/>
            <w:hideMark/>
          </w:tcPr>
          <w:p w14:paraId="37322723" w14:textId="160EB95B"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FMP  (USD/kg)</w:t>
            </w:r>
          </w:p>
        </w:tc>
        <w:tc>
          <w:tcPr>
            <w:tcW w:w="1328" w:type="dxa"/>
            <w:tcBorders>
              <w:top w:val="single" w:sz="4" w:space="0" w:color="BED600"/>
              <w:left w:val="nil"/>
              <w:bottom w:val="single" w:sz="4" w:space="0" w:color="BED600"/>
              <w:right w:val="nil"/>
            </w:tcBorders>
            <w:shd w:val="clear" w:color="auto" w:fill="92D050"/>
            <w:vAlign w:val="center"/>
            <w:hideMark/>
          </w:tcPr>
          <w:p w14:paraId="1A143DDD" w14:textId="1629A629"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FP</w:t>
            </w:r>
            <w:r w:rsidR="00E80B6C">
              <w:rPr>
                <w:b/>
                <w:bCs/>
                <w:color w:val="FFFFFF"/>
                <w:sz w:val="18"/>
                <w:szCs w:val="18"/>
                <w:lang w:val="en-US" w:eastAsia="en-US"/>
              </w:rPr>
              <w:t xml:space="preserve"> </w:t>
            </w:r>
            <w:r w:rsidR="00E80B6C" w:rsidRPr="00FB0E4B">
              <w:rPr>
                <w:b/>
                <w:bCs/>
                <w:color w:val="FFFFFF"/>
                <w:sz w:val="18"/>
                <w:szCs w:val="18"/>
                <w:lang w:val="en-US" w:eastAsia="en-US"/>
              </w:rPr>
              <w:t>(USD/kg)</w:t>
            </w:r>
          </w:p>
        </w:tc>
      </w:tr>
      <w:tr w:rsidR="00441C77" w:rsidRPr="00FB0E4B" w14:paraId="17731609" w14:textId="77777777" w:rsidTr="00E80B6C">
        <w:trPr>
          <w:trHeight w:val="170"/>
          <w:jc w:val="center"/>
        </w:trPr>
        <w:tc>
          <w:tcPr>
            <w:tcW w:w="988" w:type="dxa"/>
            <w:vMerge w:val="restart"/>
            <w:tcBorders>
              <w:top w:val="single" w:sz="4" w:space="0" w:color="BED600"/>
            </w:tcBorders>
            <w:shd w:val="clear" w:color="auto" w:fill="FFF2CC" w:themeFill="accent4" w:themeFillTint="33"/>
            <w:textDirection w:val="btLr"/>
            <w:vAlign w:val="center"/>
          </w:tcPr>
          <w:p w14:paraId="6149E9BA" w14:textId="30E72DED" w:rsidR="00441C77" w:rsidRPr="00FB0E4B" w:rsidRDefault="00441C77" w:rsidP="00FB0E4B">
            <w:pPr>
              <w:spacing w:before="0" w:after="0" w:line="240" w:lineRule="auto"/>
              <w:ind w:left="113" w:right="113"/>
              <w:jc w:val="center"/>
              <w:rPr>
                <w:b/>
                <w:bCs/>
                <w:sz w:val="18"/>
                <w:szCs w:val="18"/>
                <w:lang w:val="en-US" w:eastAsia="en-US"/>
              </w:rPr>
            </w:pPr>
            <w:r w:rsidRPr="00FB0E4B">
              <w:rPr>
                <w:b/>
                <w:bCs/>
                <w:sz w:val="18"/>
                <w:szCs w:val="18"/>
                <w:lang w:val="en-US" w:eastAsia="en-US"/>
              </w:rPr>
              <w:t>Fresh fruit</w:t>
            </w:r>
          </w:p>
        </w:tc>
        <w:tc>
          <w:tcPr>
            <w:tcW w:w="988" w:type="dxa"/>
            <w:tcBorders>
              <w:top w:val="single" w:sz="4" w:space="0" w:color="BED600"/>
            </w:tcBorders>
            <w:shd w:val="clear" w:color="auto" w:fill="FFF2CC" w:themeFill="accent4" w:themeFillTint="33"/>
            <w:vAlign w:val="center"/>
            <w:hideMark/>
          </w:tcPr>
          <w:p w14:paraId="08BBADF8" w14:textId="7E1E08F0"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tcBorders>
              <w:top w:val="single" w:sz="4" w:space="0" w:color="BED600"/>
            </w:tcBorders>
            <w:shd w:val="clear" w:color="auto" w:fill="FFF2CC" w:themeFill="accent4" w:themeFillTint="33"/>
            <w:vAlign w:val="center"/>
            <w:hideMark/>
          </w:tcPr>
          <w:p w14:paraId="230DA796"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Unpacked</w:t>
            </w:r>
          </w:p>
        </w:tc>
        <w:tc>
          <w:tcPr>
            <w:tcW w:w="1417" w:type="dxa"/>
            <w:tcBorders>
              <w:top w:val="single" w:sz="4" w:space="0" w:color="BED600"/>
            </w:tcBorders>
            <w:shd w:val="clear" w:color="auto" w:fill="FFF2CC" w:themeFill="accent4" w:themeFillTint="33"/>
            <w:vAlign w:val="center"/>
            <w:hideMark/>
          </w:tcPr>
          <w:p w14:paraId="5DE2EA93"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Conventional</w:t>
            </w:r>
          </w:p>
        </w:tc>
        <w:tc>
          <w:tcPr>
            <w:tcW w:w="2268" w:type="dxa"/>
            <w:tcBorders>
              <w:top w:val="single" w:sz="4" w:space="0" w:color="BED600"/>
            </w:tcBorders>
            <w:shd w:val="clear" w:color="auto" w:fill="FFF2CC" w:themeFill="accent4" w:themeFillTint="33"/>
            <w:vAlign w:val="center"/>
            <w:hideMark/>
          </w:tcPr>
          <w:p w14:paraId="654DF55F" w14:textId="2A4CB1A3"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Central America, Mexico, and the Caribbean</w:t>
            </w:r>
          </w:p>
        </w:tc>
        <w:tc>
          <w:tcPr>
            <w:tcW w:w="992" w:type="dxa"/>
            <w:tcBorders>
              <w:top w:val="single" w:sz="4" w:space="0" w:color="BED600"/>
            </w:tcBorders>
            <w:shd w:val="clear" w:color="auto" w:fill="FFF2CC" w:themeFill="accent4" w:themeFillTint="33"/>
            <w:vAlign w:val="center"/>
            <w:hideMark/>
          </w:tcPr>
          <w:p w14:paraId="6092D818"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EXW</w:t>
            </w:r>
          </w:p>
        </w:tc>
        <w:tc>
          <w:tcPr>
            <w:tcW w:w="992" w:type="dxa"/>
            <w:tcBorders>
              <w:top w:val="single" w:sz="4" w:space="0" w:color="BED600"/>
            </w:tcBorders>
            <w:shd w:val="clear" w:color="auto" w:fill="FFF2CC" w:themeFill="accent4" w:themeFillTint="33"/>
            <w:vAlign w:val="center"/>
            <w:hideMark/>
          </w:tcPr>
          <w:p w14:paraId="46273D7C" w14:textId="1F51990E"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0.42</w:t>
            </w:r>
          </w:p>
        </w:tc>
        <w:tc>
          <w:tcPr>
            <w:tcW w:w="1328" w:type="dxa"/>
            <w:tcBorders>
              <w:top w:val="single" w:sz="4" w:space="0" w:color="BED600"/>
            </w:tcBorders>
            <w:shd w:val="clear" w:color="auto" w:fill="FFF2CC" w:themeFill="accent4" w:themeFillTint="33"/>
            <w:vAlign w:val="center"/>
            <w:hideMark/>
          </w:tcPr>
          <w:p w14:paraId="6A6E86CD"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7DCDC0B1" w14:textId="77777777" w:rsidTr="00E80B6C">
        <w:trPr>
          <w:trHeight w:val="170"/>
          <w:jc w:val="center"/>
        </w:trPr>
        <w:tc>
          <w:tcPr>
            <w:tcW w:w="988" w:type="dxa"/>
            <w:vMerge/>
          </w:tcPr>
          <w:p w14:paraId="5455BB2C"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auto"/>
            <w:vAlign w:val="center"/>
          </w:tcPr>
          <w:p w14:paraId="35211CCE" w14:textId="6B987F3A"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auto"/>
            <w:vAlign w:val="center"/>
          </w:tcPr>
          <w:p w14:paraId="525AD3E4"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Unpacked</w:t>
            </w:r>
          </w:p>
        </w:tc>
        <w:tc>
          <w:tcPr>
            <w:tcW w:w="1417" w:type="dxa"/>
            <w:shd w:val="clear" w:color="auto" w:fill="auto"/>
            <w:vAlign w:val="center"/>
          </w:tcPr>
          <w:p w14:paraId="017FAF7E" w14:textId="77777777" w:rsidR="00441C77" w:rsidRPr="00FB0E4B" w:rsidRDefault="00441C77" w:rsidP="00FB0E4B">
            <w:pPr>
              <w:spacing w:before="0" w:after="0" w:line="240" w:lineRule="auto"/>
              <w:jc w:val="left"/>
              <w:rPr>
                <w:sz w:val="18"/>
                <w:szCs w:val="18"/>
                <w:lang w:val="en-US" w:eastAsia="en-US"/>
              </w:rPr>
            </w:pPr>
            <w:r w:rsidRPr="00FB0E4B">
              <w:rPr>
                <w:sz w:val="18"/>
                <w:szCs w:val="18"/>
              </w:rPr>
              <w:t>Organic</w:t>
            </w:r>
          </w:p>
        </w:tc>
        <w:tc>
          <w:tcPr>
            <w:tcW w:w="2268" w:type="dxa"/>
            <w:shd w:val="clear" w:color="auto" w:fill="auto"/>
            <w:vAlign w:val="center"/>
          </w:tcPr>
          <w:p w14:paraId="1A7C2A33" w14:textId="3A4FC51D"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Central America, Mexico, and the Caribbean</w:t>
            </w:r>
          </w:p>
        </w:tc>
        <w:tc>
          <w:tcPr>
            <w:tcW w:w="992" w:type="dxa"/>
            <w:shd w:val="clear" w:color="auto" w:fill="auto"/>
            <w:vAlign w:val="center"/>
          </w:tcPr>
          <w:p w14:paraId="45EE33C8" w14:textId="77777777" w:rsidR="00441C77" w:rsidRPr="00FB0E4B" w:rsidRDefault="00441C77" w:rsidP="00FB0E4B">
            <w:pPr>
              <w:spacing w:before="0" w:after="0" w:line="240" w:lineRule="auto"/>
              <w:jc w:val="center"/>
              <w:rPr>
                <w:sz w:val="18"/>
                <w:szCs w:val="18"/>
                <w:lang w:val="en-US" w:eastAsia="en-US"/>
              </w:rPr>
            </w:pPr>
            <w:r w:rsidRPr="00FB0E4B">
              <w:rPr>
                <w:sz w:val="18"/>
                <w:szCs w:val="18"/>
              </w:rPr>
              <w:t>EXW</w:t>
            </w:r>
          </w:p>
        </w:tc>
        <w:tc>
          <w:tcPr>
            <w:tcW w:w="992" w:type="dxa"/>
            <w:shd w:val="clear" w:color="auto" w:fill="auto"/>
            <w:vAlign w:val="center"/>
          </w:tcPr>
          <w:p w14:paraId="277148B9" w14:textId="2EC2A754" w:rsidR="00441C77" w:rsidRPr="00FB0E4B" w:rsidRDefault="00441C77" w:rsidP="00FB0E4B">
            <w:pPr>
              <w:spacing w:before="0" w:after="0" w:line="240" w:lineRule="auto"/>
              <w:jc w:val="center"/>
              <w:rPr>
                <w:sz w:val="18"/>
                <w:szCs w:val="18"/>
                <w:lang w:val="en-US" w:eastAsia="en-US"/>
              </w:rPr>
            </w:pPr>
            <w:r w:rsidRPr="00FB0E4B">
              <w:rPr>
                <w:sz w:val="18"/>
                <w:szCs w:val="18"/>
              </w:rPr>
              <w:t>0.56</w:t>
            </w:r>
          </w:p>
        </w:tc>
        <w:tc>
          <w:tcPr>
            <w:tcW w:w="1328" w:type="dxa"/>
            <w:shd w:val="clear" w:color="auto" w:fill="auto"/>
            <w:vAlign w:val="center"/>
          </w:tcPr>
          <w:p w14:paraId="3FFFAB03"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30815F77" w14:textId="77777777" w:rsidTr="00E80B6C">
        <w:trPr>
          <w:trHeight w:val="170"/>
          <w:jc w:val="center"/>
        </w:trPr>
        <w:tc>
          <w:tcPr>
            <w:tcW w:w="988" w:type="dxa"/>
            <w:vMerge/>
            <w:shd w:val="clear" w:color="auto" w:fill="FFF2CC" w:themeFill="accent4" w:themeFillTint="33"/>
          </w:tcPr>
          <w:p w14:paraId="5B055476"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FFF2CC" w:themeFill="accent4" w:themeFillTint="33"/>
            <w:vAlign w:val="center"/>
          </w:tcPr>
          <w:p w14:paraId="59663771" w14:textId="77FA5E6C"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FFF2CC" w:themeFill="accent4" w:themeFillTint="33"/>
            <w:vAlign w:val="center"/>
          </w:tcPr>
          <w:p w14:paraId="4169CEAE"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Packed</w:t>
            </w:r>
          </w:p>
        </w:tc>
        <w:tc>
          <w:tcPr>
            <w:tcW w:w="1417" w:type="dxa"/>
            <w:shd w:val="clear" w:color="auto" w:fill="FFF2CC" w:themeFill="accent4" w:themeFillTint="33"/>
            <w:vAlign w:val="center"/>
          </w:tcPr>
          <w:p w14:paraId="132AC0E1" w14:textId="77777777" w:rsidR="00441C77" w:rsidRPr="00FB0E4B" w:rsidRDefault="00441C77" w:rsidP="00FB0E4B">
            <w:pPr>
              <w:spacing w:before="0" w:after="0" w:line="240" w:lineRule="auto"/>
              <w:jc w:val="left"/>
              <w:rPr>
                <w:sz w:val="18"/>
                <w:szCs w:val="18"/>
              </w:rPr>
            </w:pPr>
            <w:r w:rsidRPr="00FB0E4B">
              <w:rPr>
                <w:sz w:val="18"/>
                <w:szCs w:val="18"/>
                <w:lang w:val="en-US" w:eastAsia="en-US"/>
              </w:rPr>
              <w:t>Conventional</w:t>
            </w:r>
          </w:p>
        </w:tc>
        <w:tc>
          <w:tcPr>
            <w:tcW w:w="2268" w:type="dxa"/>
            <w:shd w:val="clear" w:color="auto" w:fill="FFF2CC" w:themeFill="accent4" w:themeFillTint="33"/>
            <w:vAlign w:val="center"/>
          </w:tcPr>
          <w:p w14:paraId="6A363F25" w14:textId="242CBED2"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Central America, Mexico, and the Caribbean</w:t>
            </w:r>
          </w:p>
        </w:tc>
        <w:tc>
          <w:tcPr>
            <w:tcW w:w="992" w:type="dxa"/>
            <w:shd w:val="clear" w:color="auto" w:fill="FFF2CC" w:themeFill="accent4" w:themeFillTint="33"/>
            <w:vAlign w:val="center"/>
          </w:tcPr>
          <w:p w14:paraId="1E771CFA" w14:textId="77777777" w:rsidR="00441C77" w:rsidRPr="00FB0E4B" w:rsidRDefault="00441C77" w:rsidP="00FB0E4B">
            <w:pPr>
              <w:spacing w:before="0" w:after="0" w:line="240" w:lineRule="auto"/>
              <w:jc w:val="center"/>
              <w:rPr>
                <w:sz w:val="18"/>
                <w:szCs w:val="18"/>
              </w:rPr>
            </w:pPr>
            <w:r w:rsidRPr="00FB0E4B">
              <w:rPr>
                <w:sz w:val="18"/>
                <w:szCs w:val="18"/>
                <w:lang w:val="en-US" w:eastAsia="en-US"/>
              </w:rPr>
              <w:t>FOB</w:t>
            </w:r>
          </w:p>
        </w:tc>
        <w:tc>
          <w:tcPr>
            <w:tcW w:w="992" w:type="dxa"/>
            <w:shd w:val="clear" w:color="auto" w:fill="FFF2CC" w:themeFill="accent4" w:themeFillTint="33"/>
            <w:vAlign w:val="center"/>
          </w:tcPr>
          <w:p w14:paraId="2F707FC1" w14:textId="2C11F3F8" w:rsidR="00441C77" w:rsidRPr="00FB0E4B" w:rsidRDefault="00441C77" w:rsidP="00FB0E4B">
            <w:pPr>
              <w:spacing w:before="0" w:after="0" w:line="240" w:lineRule="auto"/>
              <w:jc w:val="center"/>
              <w:rPr>
                <w:sz w:val="18"/>
                <w:szCs w:val="18"/>
              </w:rPr>
            </w:pPr>
            <w:r w:rsidRPr="00FB0E4B">
              <w:rPr>
                <w:sz w:val="18"/>
                <w:szCs w:val="18"/>
                <w:lang w:val="en-US" w:eastAsia="en-US"/>
              </w:rPr>
              <w:t>0.76</w:t>
            </w:r>
          </w:p>
        </w:tc>
        <w:tc>
          <w:tcPr>
            <w:tcW w:w="1328" w:type="dxa"/>
            <w:shd w:val="clear" w:color="auto" w:fill="FFF2CC" w:themeFill="accent4" w:themeFillTint="33"/>
            <w:vAlign w:val="center"/>
          </w:tcPr>
          <w:p w14:paraId="09E1E00A" w14:textId="77777777" w:rsidR="00441C77" w:rsidRPr="00FB0E4B" w:rsidRDefault="00441C77" w:rsidP="00FB0E4B">
            <w:pPr>
              <w:spacing w:before="0" w:after="0" w:line="240" w:lineRule="auto"/>
              <w:jc w:val="center"/>
              <w:rPr>
                <w:sz w:val="18"/>
                <w:szCs w:val="18"/>
              </w:rPr>
            </w:pPr>
            <w:r w:rsidRPr="00FB0E4B">
              <w:rPr>
                <w:sz w:val="18"/>
                <w:szCs w:val="18"/>
                <w:lang w:val="en-US" w:eastAsia="en-US"/>
              </w:rPr>
              <w:t>0.12</w:t>
            </w:r>
          </w:p>
        </w:tc>
      </w:tr>
      <w:tr w:rsidR="00441C77" w:rsidRPr="00FB0E4B" w14:paraId="6C065D7E" w14:textId="77777777" w:rsidTr="00E80B6C">
        <w:trPr>
          <w:trHeight w:val="170"/>
          <w:jc w:val="center"/>
        </w:trPr>
        <w:tc>
          <w:tcPr>
            <w:tcW w:w="988" w:type="dxa"/>
            <w:vMerge/>
          </w:tcPr>
          <w:p w14:paraId="121AB0FA"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auto"/>
            <w:vAlign w:val="center"/>
          </w:tcPr>
          <w:p w14:paraId="6E38203C" w14:textId="76861D30"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auto"/>
            <w:vAlign w:val="center"/>
          </w:tcPr>
          <w:p w14:paraId="7A398CFD"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Packed</w:t>
            </w:r>
          </w:p>
        </w:tc>
        <w:tc>
          <w:tcPr>
            <w:tcW w:w="1417" w:type="dxa"/>
            <w:shd w:val="clear" w:color="auto" w:fill="auto"/>
            <w:vAlign w:val="center"/>
          </w:tcPr>
          <w:p w14:paraId="0CE2B508" w14:textId="77777777" w:rsidR="00441C77" w:rsidRPr="00FB0E4B" w:rsidRDefault="00441C77" w:rsidP="00FB0E4B">
            <w:pPr>
              <w:spacing w:before="0" w:after="0" w:line="240" w:lineRule="auto"/>
              <w:jc w:val="left"/>
              <w:rPr>
                <w:sz w:val="18"/>
                <w:szCs w:val="18"/>
              </w:rPr>
            </w:pPr>
            <w:r w:rsidRPr="00FB0E4B">
              <w:rPr>
                <w:sz w:val="18"/>
                <w:szCs w:val="18"/>
              </w:rPr>
              <w:t>Organic</w:t>
            </w:r>
          </w:p>
        </w:tc>
        <w:tc>
          <w:tcPr>
            <w:tcW w:w="2268" w:type="dxa"/>
            <w:shd w:val="clear" w:color="auto" w:fill="auto"/>
            <w:vAlign w:val="center"/>
          </w:tcPr>
          <w:p w14:paraId="7047B5C4" w14:textId="39F65E43"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Central America, Mexico, and the Caribbean</w:t>
            </w:r>
          </w:p>
        </w:tc>
        <w:tc>
          <w:tcPr>
            <w:tcW w:w="992" w:type="dxa"/>
            <w:shd w:val="clear" w:color="auto" w:fill="auto"/>
            <w:vAlign w:val="center"/>
          </w:tcPr>
          <w:p w14:paraId="6597BDF9" w14:textId="77777777" w:rsidR="00441C77" w:rsidRPr="00FB0E4B" w:rsidRDefault="00441C77" w:rsidP="00FB0E4B">
            <w:pPr>
              <w:spacing w:before="0" w:after="0" w:line="240" w:lineRule="auto"/>
              <w:jc w:val="center"/>
              <w:rPr>
                <w:sz w:val="18"/>
                <w:szCs w:val="18"/>
              </w:rPr>
            </w:pPr>
            <w:r w:rsidRPr="00FB0E4B">
              <w:rPr>
                <w:sz w:val="18"/>
                <w:szCs w:val="18"/>
              </w:rPr>
              <w:t>FOB</w:t>
            </w:r>
          </w:p>
        </w:tc>
        <w:tc>
          <w:tcPr>
            <w:tcW w:w="992" w:type="dxa"/>
            <w:shd w:val="clear" w:color="auto" w:fill="auto"/>
            <w:vAlign w:val="center"/>
          </w:tcPr>
          <w:p w14:paraId="419ABE56" w14:textId="468EBAA3" w:rsidR="00441C77" w:rsidRPr="00FB0E4B" w:rsidRDefault="00441C77" w:rsidP="00FB0E4B">
            <w:pPr>
              <w:spacing w:before="0" w:after="0" w:line="240" w:lineRule="auto"/>
              <w:jc w:val="center"/>
              <w:rPr>
                <w:sz w:val="18"/>
                <w:szCs w:val="18"/>
              </w:rPr>
            </w:pPr>
            <w:r w:rsidRPr="00FB0E4B">
              <w:rPr>
                <w:sz w:val="18"/>
                <w:szCs w:val="18"/>
              </w:rPr>
              <w:t>0.90</w:t>
            </w:r>
          </w:p>
        </w:tc>
        <w:tc>
          <w:tcPr>
            <w:tcW w:w="1328" w:type="dxa"/>
            <w:shd w:val="clear" w:color="auto" w:fill="auto"/>
            <w:vAlign w:val="center"/>
          </w:tcPr>
          <w:p w14:paraId="6884B12C" w14:textId="77777777" w:rsidR="00441C77" w:rsidRPr="00FB0E4B" w:rsidRDefault="00441C77" w:rsidP="00FB0E4B">
            <w:pPr>
              <w:spacing w:before="0" w:after="0" w:line="240" w:lineRule="auto"/>
              <w:jc w:val="center"/>
              <w:rPr>
                <w:sz w:val="18"/>
                <w:szCs w:val="18"/>
              </w:rPr>
            </w:pPr>
            <w:r w:rsidRPr="00FB0E4B">
              <w:rPr>
                <w:sz w:val="18"/>
                <w:szCs w:val="18"/>
                <w:lang w:val="en-US" w:eastAsia="en-US"/>
              </w:rPr>
              <w:t>0.12</w:t>
            </w:r>
          </w:p>
        </w:tc>
      </w:tr>
      <w:tr w:rsidR="00441C77" w:rsidRPr="00FB0E4B" w14:paraId="3039CDE0" w14:textId="77777777" w:rsidTr="00E80B6C">
        <w:trPr>
          <w:trHeight w:val="170"/>
          <w:jc w:val="center"/>
        </w:trPr>
        <w:tc>
          <w:tcPr>
            <w:tcW w:w="988" w:type="dxa"/>
            <w:vMerge/>
            <w:shd w:val="clear" w:color="auto" w:fill="FFF2CC" w:themeFill="accent4" w:themeFillTint="33"/>
          </w:tcPr>
          <w:p w14:paraId="2B828F7D"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FFF2CC" w:themeFill="accent4" w:themeFillTint="33"/>
            <w:vAlign w:val="center"/>
          </w:tcPr>
          <w:p w14:paraId="4B3D928C" w14:textId="25042816"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FFF2CC" w:themeFill="accent4" w:themeFillTint="33"/>
            <w:vAlign w:val="center"/>
          </w:tcPr>
          <w:p w14:paraId="142BF4BB"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Unpacked</w:t>
            </w:r>
          </w:p>
        </w:tc>
        <w:tc>
          <w:tcPr>
            <w:tcW w:w="1417" w:type="dxa"/>
            <w:shd w:val="clear" w:color="auto" w:fill="FFF2CC" w:themeFill="accent4" w:themeFillTint="33"/>
            <w:vAlign w:val="center"/>
          </w:tcPr>
          <w:p w14:paraId="755864AD" w14:textId="77777777" w:rsidR="00441C77" w:rsidRPr="00FB0E4B" w:rsidRDefault="00441C77" w:rsidP="00FB0E4B">
            <w:pPr>
              <w:spacing w:before="0" w:after="0" w:line="240" w:lineRule="auto"/>
              <w:jc w:val="left"/>
              <w:rPr>
                <w:sz w:val="18"/>
                <w:szCs w:val="18"/>
              </w:rPr>
            </w:pPr>
            <w:r w:rsidRPr="00FB0E4B">
              <w:rPr>
                <w:sz w:val="18"/>
                <w:szCs w:val="18"/>
                <w:lang w:val="en-US" w:eastAsia="en-US"/>
              </w:rPr>
              <w:t>Conventional</w:t>
            </w:r>
          </w:p>
        </w:tc>
        <w:tc>
          <w:tcPr>
            <w:tcW w:w="2268" w:type="dxa"/>
            <w:shd w:val="clear" w:color="auto" w:fill="FFF2CC" w:themeFill="accent4" w:themeFillTint="33"/>
            <w:vAlign w:val="center"/>
          </w:tcPr>
          <w:p w14:paraId="5B1B2A45" w14:textId="7A5A5413"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South America</w:t>
            </w:r>
          </w:p>
        </w:tc>
        <w:tc>
          <w:tcPr>
            <w:tcW w:w="992" w:type="dxa"/>
            <w:shd w:val="clear" w:color="auto" w:fill="FFF2CC" w:themeFill="accent4" w:themeFillTint="33"/>
            <w:vAlign w:val="center"/>
          </w:tcPr>
          <w:p w14:paraId="53595A30" w14:textId="77777777" w:rsidR="00441C77" w:rsidRPr="00FB0E4B" w:rsidRDefault="00441C77" w:rsidP="00FB0E4B">
            <w:pPr>
              <w:spacing w:before="0" w:after="0" w:line="240" w:lineRule="auto"/>
              <w:jc w:val="center"/>
              <w:rPr>
                <w:sz w:val="18"/>
                <w:szCs w:val="18"/>
              </w:rPr>
            </w:pPr>
            <w:r w:rsidRPr="00FB0E4B">
              <w:rPr>
                <w:sz w:val="18"/>
                <w:szCs w:val="18"/>
                <w:lang w:val="en-US" w:eastAsia="en-US"/>
              </w:rPr>
              <w:t>EXW</w:t>
            </w:r>
          </w:p>
        </w:tc>
        <w:tc>
          <w:tcPr>
            <w:tcW w:w="992" w:type="dxa"/>
            <w:shd w:val="clear" w:color="auto" w:fill="FFF2CC" w:themeFill="accent4" w:themeFillTint="33"/>
            <w:vAlign w:val="center"/>
          </w:tcPr>
          <w:p w14:paraId="7D2D3556" w14:textId="1333E6DE"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0.55</w:t>
            </w:r>
          </w:p>
        </w:tc>
        <w:tc>
          <w:tcPr>
            <w:tcW w:w="1328" w:type="dxa"/>
            <w:shd w:val="clear" w:color="auto" w:fill="FFF2CC" w:themeFill="accent4" w:themeFillTint="33"/>
            <w:vAlign w:val="center"/>
          </w:tcPr>
          <w:p w14:paraId="4A641DDA"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6894D18F" w14:textId="77777777" w:rsidTr="00E80B6C">
        <w:trPr>
          <w:trHeight w:val="170"/>
          <w:jc w:val="center"/>
        </w:trPr>
        <w:tc>
          <w:tcPr>
            <w:tcW w:w="988" w:type="dxa"/>
            <w:vMerge/>
          </w:tcPr>
          <w:p w14:paraId="5F4AC464"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auto"/>
            <w:vAlign w:val="center"/>
          </w:tcPr>
          <w:p w14:paraId="349BDA06" w14:textId="4AC76A6D"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auto"/>
            <w:vAlign w:val="center"/>
          </w:tcPr>
          <w:p w14:paraId="5A07F53D"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Unpacked</w:t>
            </w:r>
          </w:p>
        </w:tc>
        <w:tc>
          <w:tcPr>
            <w:tcW w:w="1417" w:type="dxa"/>
            <w:shd w:val="clear" w:color="auto" w:fill="auto"/>
            <w:vAlign w:val="center"/>
          </w:tcPr>
          <w:p w14:paraId="7E5815EC" w14:textId="77777777" w:rsidR="00441C77" w:rsidRPr="00FB0E4B" w:rsidRDefault="00441C77" w:rsidP="00FB0E4B">
            <w:pPr>
              <w:spacing w:before="0" w:after="0" w:line="240" w:lineRule="auto"/>
              <w:jc w:val="left"/>
              <w:rPr>
                <w:sz w:val="18"/>
                <w:szCs w:val="18"/>
              </w:rPr>
            </w:pPr>
            <w:r w:rsidRPr="00FB0E4B">
              <w:rPr>
                <w:sz w:val="18"/>
                <w:szCs w:val="18"/>
              </w:rPr>
              <w:t>Organic</w:t>
            </w:r>
          </w:p>
        </w:tc>
        <w:tc>
          <w:tcPr>
            <w:tcW w:w="2268" w:type="dxa"/>
            <w:shd w:val="clear" w:color="auto" w:fill="auto"/>
            <w:vAlign w:val="center"/>
          </w:tcPr>
          <w:p w14:paraId="144E0D1A" w14:textId="7F7388A3"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South America</w:t>
            </w:r>
          </w:p>
        </w:tc>
        <w:tc>
          <w:tcPr>
            <w:tcW w:w="992" w:type="dxa"/>
            <w:shd w:val="clear" w:color="auto" w:fill="auto"/>
            <w:vAlign w:val="center"/>
          </w:tcPr>
          <w:p w14:paraId="2B5514A6" w14:textId="77777777" w:rsidR="00441C77" w:rsidRPr="00FB0E4B" w:rsidRDefault="00441C77" w:rsidP="00FB0E4B">
            <w:pPr>
              <w:spacing w:before="0" w:after="0" w:line="240" w:lineRule="auto"/>
              <w:jc w:val="center"/>
              <w:rPr>
                <w:sz w:val="18"/>
                <w:szCs w:val="18"/>
              </w:rPr>
            </w:pPr>
            <w:r w:rsidRPr="00FB0E4B">
              <w:rPr>
                <w:sz w:val="18"/>
                <w:szCs w:val="18"/>
              </w:rPr>
              <w:t>EXW</w:t>
            </w:r>
          </w:p>
        </w:tc>
        <w:tc>
          <w:tcPr>
            <w:tcW w:w="992" w:type="dxa"/>
            <w:shd w:val="clear" w:color="auto" w:fill="auto"/>
            <w:vAlign w:val="center"/>
          </w:tcPr>
          <w:p w14:paraId="50530160" w14:textId="29606AA0"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0.70</w:t>
            </w:r>
          </w:p>
        </w:tc>
        <w:tc>
          <w:tcPr>
            <w:tcW w:w="1328" w:type="dxa"/>
            <w:shd w:val="clear" w:color="auto" w:fill="auto"/>
            <w:vAlign w:val="center"/>
          </w:tcPr>
          <w:p w14:paraId="1B689E83"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15F4678D" w14:textId="77777777" w:rsidTr="00E80B6C">
        <w:trPr>
          <w:trHeight w:val="170"/>
          <w:jc w:val="center"/>
        </w:trPr>
        <w:tc>
          <w:tcPr>
            <w:tcW w:w="988" w:type="dxa"/>
            <w:vMerge/>
            <w:shd w:val="clear" w:color="auto" w:fill="FFF2CC" w:themeFill="accent4" w:themeFillTint="33"/>
          </w:tcPr>
          <w:p w14:paraId="5AA03426"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FFF2CC" w:themeFill="accent4" w:themeFillTint="33"/>
            <w:vAlign w:val="center"/>
          </w:tcPr>
          <w:p w14:paraId="30384127" w14:textId="525D26A4"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FFF2CC" w:themeFill="accent4" w:themeFillTint="33"/>
            <w:vAlign w:val="center"/>
          </w:tcPr>
          <w:p w14:paraId="792845B6"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Packed</w:t>
            </w:r>
          </w:p>
        </w:tc>
        <w:tc>
          <w:tcPr>
            <w:tcW w:w="1417" w:type="dxa"/>
            <w:shd w:val="clear" w:color="auto" w:fill="FFF2CC" w:themeFill="accent4" w:themeFillTint="33"/>
            <w:vAlign w:val="center"/>
          </w:tcPr>
          <w:p w14:paraId="19076170" w14:textId="77777777" w:rsidR="00441C77" w:rsidRPr="00FB0E4B" w:rsidRDefault="00441C77" w:rsidP="00FB0E4B">
            <w:pPr>
              <w:spacing w:before="0" w:after="0" w:line="240" w:lineRule="auto"/>
              <w:jc w:val="left"/>
              <w:rPr>
                <w:sz w:val="18"/>
                <w:szCs w:val="18"/>
              </w:rPr>
            </w:pPr>
            <w:r w:rsidRPr="00FB0E4B">
              <w:rPr>
                <w:sz w:val="18"/>
                <w:szCs w:val="18"/>
                <w:lang w:val="en-US" w:eastAsia="en-US"/>
              </w:rPr>
              <w:t>Conventional</w:t>
            </w:r>
          </w:p>
        </w:tc>
        <w:tc>
          <w:tcPr>
            <w:tcW w:w="2268" w:type="dxa"/>
            <w:shd w:val="clear" w:color="auto" w:fill="FFF2CC" w:themeFill="accent4" w:themeFillTint="33"/>
            <w:vAlign w:val="center"/>
          </w:tcPr>
          <w:p w14:paraId="4B31C527" w14:textId="59E1C88D"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South America</w:t>
            </w:r>
          </w:p>
        </w:tc>
        <w:tc>
          <w:tcPr>
            <w:tcW w:w="992" w:type="dxa"/>
            <w:shd w:val="clear" w:color="auto" w:fill="FFF2CC" w:themeFill="accent4" w:themeFillTint="33"/>
            <w:vAlign w:val="center"/>
          </w:tcPr>
          <w:p w14:paraId="79EB1F5A" w14:textId="77777777" w:rsidR="00441C77" w:rsidRPr="00FB0E4B" w:rsidRDefault="00441C77" w:rsidP="00FB0E4B">
            <w:pPr>
              <w:spacing w:before="0" w:after="0" w:line="240" w:lineRule="auto"/>
              <w:jc w:val="center"/>
              <w:rPr>
                <w:sz w:val="18"/>
                <w:szCs w:val="18"/>
              </w:rPr>
            </w:pPr>
            <w:r w:rsidRPr="00FB0E4B">
              <w:rPr>
                <w:sz w:val="18"/>
                <w:szCs w:val="18"/>
                <w:lang w:val="en-US" w:eastAsia="en-US"/>
              </w:rPr>
              <w:t>FOB</w:t>
            </w:r>
          </w:p>
        </w:tc>
        <w:tc>
          <w:tcPr>
            <w:tcW w:w="992" w:type="dxa"/>
            <w:shd w:val="clear" w:color="auto" w:fill="FFF2CC" w:themeFill="accent4" w:themeFillTint="33"/>
            <w:vAlign w:val="center"/>
          </w:tcPr>
          <w:p w14:paraId="5432FB06" w14:textId="2DC4C270"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0.79</w:t>
            </w:r>
          </w:p>
        </w:tc>
        <w:tc>
          <w:tcPr>
            <w:tcW w:w="1328" w:type="dxa"/>
            <w:shd w:val="clear" w:color="auto" w:fill="FFF2CC" w:themeFill="accent4" w:themeFillTint="33"/>
            <w:vAlign w:val="center"/>
          </w:tcPr>
          <w:p w14:paraId="42D509EB"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0BDA7278" w14:textId="77777777" w:rsidTr="00E80B6C">
        <w:trPr>
          <w:trHeight w:val="170"/>
          <w:jc w:val="center"/>
        </w:trPr>
        <w:tc>
          <w:tcPr>
            <w:tcW w:w="988" w:type="dxa"/>
            <w:vMerge/>
          </w:tcPr>
          <w:p w14:paraId="6CA8137D"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auto"/>
            <w:vAlign w:val="center"/>
          </w:tcPr>
          <w:p w14:paraId="5C35477E" w14:textId="4EFD7616"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auto"/>
            <w:vAlign w:val="center"/>
          </w:tcPr>
          <w:p w14:paraId="03049142"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Packed</w:t>
            </w:r>
          </w:p>
        </w:tc>
        <w:tc>
          <w:tcPr>
            <w:tcW w:w="1417" w:type="dxa"/>
            <w:shd w:val="clear" w:color="auto" w:fill="auto"/>
            <w:vAlign w:val="center"/>
          </w:tcPr>
          <w:p w14:paraId="61453457" w14:textId="77777777" w:rsidR="00441C77" w:rsidRPr="00FB0E4B" w:rsidRDefault="00441C77" w:rsidP="00FB0E4B">
            <w:pPr>
              <w:spacing w:before="0" w:after="0" w:line="240" w:lineRule="auto"/>
              <w:jc w:val="left"/>
              <w:rPr>
                <w:sz w:val="18"/>
                <w:szCs w:val="18"/>
              </w:rPr>
            </w:pPr>
            <w:r w:rsidRPr="00FB0E4B">
              <w:rPr>
                <w:sz w:val="18"/>
                <w:szCs w:val="18"/>
              </w:rPr>
              <w:t>Organic</w:t>
            </w:r>
          </w:p>
        </w:tc>
        <w:tc>
          <w:tcPr>
            <w:tcW w:w="2268" w:type="dxa"/>
            <w:shd w:val="clear" w:color="auto" w:fill="auto"/>
            <w:vAlign w:val="center"/>
          </w:tcPr>
          <w:p w14:paraId="36F5E39F" w14:textId="7B4CC7DF"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South America</w:t>
            </w:r>
          </w:p>
        </w:tc>
        <w:tc>
          <w:tcPr>
            <w:tcW w:w="992" w:type="dxa"/>
            <w:shd w:val="clear" w:color="auto" w:fill="auto"/>
            <w:vAlign w:val="center"/>
          </w:tcPr>
          <w:p w14:paraId="73F94E91" w14:textId="77777777" w:rsidR="00441C77" w:rsidRPr="00FB0E4B" w:rsidRDefault="00441C77" w:rsidP="00FB0E4B">
            <w:pPr>
              <w:spacing w:before="0" w:after="0" w:line="240" w:lineRule="auto"/>
              <w:jc w:val="center"/>
              <w:rPr>
                <w:sz w:val="18"/>
                <w:szCs w:val="18"/>
              </w:rPr>
            </w:pPr>
            <w:r w:rsidRPr="00FB0E4B">
              <w:rPr>
                <w:sz w:val="18"/>
                <w:szCs w:val="18"/>
              </w:rPr>
              <w:t>FOB</w:t>
            </w:r>
          </w:p>
        </w:tc>
        <w:tc>
          <w:tcPr>
            <w:tcW w:w="992" w:type="dxa"/>
            <w:shd w:val="clear" w:color="auto" w:fill="auto"/>
            <w:vAlign w:val="center"/>
          </w:tcPr>
          <w:p w14:paraId="6A3B81D5" w14:textId="69ADA8B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0.94</w:t>
            </w:r>
          </w:p>
        </w:tc>
        <w:tc>
          <w:tcPr>
            <w:tcW w:w="1328" w:type="dxa"/>
            <w:shd w:val="clear" w:color="auto" w:fill="auto"/>
            <w:vAlign w:val="center"/>
          </w:tcPr>
          <w:p w14:paraId="07F0BC86"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6B54B723" w14:textId="77777777" w:rsidTr="00E80B6C">
        <w:trPr>
          <w:trHeight w:val="170"/>
          <w:jc w:val="center"/>
        </w:trPr>
        <w:tc>
          <w:tcPr>
            <w:tcW w:w="988" w:type="dxa"/>
            <w:vMerge/>
            <w:shd w:val="clear" w:color="auto" w:fill="FFF2CC" w:themeFill="accent4" w:themeFillTint="33"/>
          </w:tcPr>
          <w:p w14:paraId="3CFB4356"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FFF2CC" w:themeFill="accent4" w:themeFillTint="33"/>
            <w:vAlign w:val="center"/>
          </w:tcPr>
          <w:p w14:paraId="7A7362E0" w14:textId="07009907"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FFF2CC" w:themeFill="accent4" w:themeFillTint="33"/>
            <w:vAlign w:val="center"/>
          </w:tcPr>
          <w:p w14:paraId="37A5304C" w14:textId="7439275A"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Unpacked</w:t>
            </w:r>
          </w:p>
        </w:tc>
        <w:tc>
          <w:tcPr>
            <w:tcW w:w="1417" w:type="dxa"/>
            <w:shd w:val="clear" w:color="auto" w:fill="FFF2CC" w:themeFill="accent4" w:themeFillTint="33"/>
            <w:vAlign w:val="center"/>
          </w:tcPr>
          <w:p w14:paraId="573AB670" w14:textId="4FA7989D" w:rsidR="00441C77" w:rsidRPr="00FB0E4B" w:rsidRDefault="00441C77" w:rsidP="00FB0E4B">
            <w:pPr>
              <w:spacing w:before="0" w:after="0" w:line="240" w:lineRule="auto"/>
              <w:jc w:val="left"/>
              <w:rPr>
                <w:sz w:val="18"/>
                <w:szCs w:val="18"/>
              </w:rPr>
            </w:pPr>
            <w:r w:rsidRPr="00FB0E4B">
              <w:rPr>
                <w:sz w:val="18"/>
                <w:szCs w:val="18"/>
                <w:lang w:val="en-US" w:eastAsia="en-US"/>
              </w:rPr>
              <w:t>Conventional</w:t>
            </w:r>
          </w:p>
        </w:tc>
        <w:tc>
          <w:tcPr>
            <w:tcW w:w="2268" w:type="dxa"/>
            <w:shd w:val="clear" w:color="auto" w:fill="FFF2CC" w:themeFill="accent4" w:themeFillTint="33"/>
            <w:vAlign w:val="center"/>
          </w:tcPr>
          <w:p w14:paraId="0275D6EF" w14:textId="697EE340"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Southern Asia</w:t>
            </w:r>
          </w:p>
        </w:tc>
        <w:tc>
          <w:tcPr>
            <w:tcW w:w="992" w:type="dxa"/>
            <w:shd w:val="clear" w:color="auto" w:fill="FFF2CC" w:themeFill="accent4" w:themeFillTint="33"/>
            <w:vAlign w:val="center"/>
          </w:tcPr>
          <w:p w14:paraId="47630F2E" w14:textId="57A7B3C4" w:rsidR="00441C77" w:rsidRPr="00FB0E4B" w:rsidRDefault="00441C77" w:rsidP="00FB0E4B">
            <w:pPr>
              <w:spacing w:before="0" w:after="0" w:line="240" w:lineRule="auto"/>
              <w:jc w:val="center"/>
              <w:rPr>
                <w:sz w:val="18"/>
                <w:szCs w:val="18"/>
              </w:rPr>
            </w:pPr>
            <w:r w:rsidRPr="00FB0E4B">
              <w:rPr>
                <w:sz w:val="18"/>
                <w:szCs w:val="18"/>
                <w:lang w:val="en-US" w:eastAsia="en-US"/>
              </w:rPr>
              <w:t>EXW</w:t>
            </w:r>
          </w:p>
        </w:tc>
        <w:tc>
          <w:tcPr>
            <w:tcW w:w="992" w:type="dxa"/>
            <w:shd w:val="clear" w:color="auto" w:fill="FFF2CC" w:themeFill="accent4" w:themeFillTint="33"/>
            <w:vAlign w:val="center"/>
          </w:tcPr>
          <w:p w14:paraId="409DB169" w14:textId="32D22003"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0.41</w:t>
            </w:r>
          </w:p>
        </w:tc>
        <w:tc>
          <w:tcPr>
            <w:tcW w:w="1328" w:type="dxa"/>
            <w:shd w:val="clear" w:color="auto" w:fill="FFF2CC" w:themeFill="accent4" w:themeFillTint="33"/>
            <w:vAlign w:val="center"/>
          </w:tcPr>
          <w:p w14:paraId="7CABE155" w14:textId="68911182"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198B007C" w14:textId="77777777" w:rsidTr="00E80B6C">
        <w:trPr>
          <w:trHeight w:val="170"/>
          <w:jc w:val="center"/>
        </w:trPr>
        <w:tc>
          <w:tcPr>
            <w:tcW w:w="988" w:type="dxa"/>
            <w:vMerge/>
          </w:tcPr>
          <w:p w14:paraId="23C0609B"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auto"/>
            <w:vAlign w:val="center"/>
          </w:tcPr>
          <w:p w14:paraId="364029A4" w14:textId="0E531103"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auto"/>
            <w:vAlign w:val="center"/>
          </w:tcPr>
          <w:p w14:paraId="568A3977" w14:textId="736D551A"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Unpacked</w:t>
            </w:r>
          </w:p>
        </w:tc>
        <w:tc>
          <w:tcPr>
            <w:tcW w:w="1417" w:type="dxa"/>
            <w:shd w:val="clear" w:color="auto" w:fill="auto"/>
            <w:vAlign w:val="center"/>
          </w:tcPr>
          <w:p w14:paraId="0FCB6F9D" w14:textId="4466B33E" w:rsidR="00441C77" w:rsidRPr="00FB0E4B" w:rsidRDefault="00441C77" w:rsidP="00FB0E4B">
            <w:pPr>
              <w:spacing w:before="0" w:after="0" w:line="240" w:lineRule="auto"/>
              <w:jc w:val="left"/>
              <w:rPr>
                <w:sz w:val="18"/>
                <w:szCs w:val="18"/>
              </w:rPr>
            </w:pPr>
            <w:r w:rsidRPr="00FB0E4B">
              <w:rPr>
                <w:sz w:val="18"/>
                <w:szCs w:val="18"/>
              </w:rPr>
              <w:t>Organic</w:t>
            </w:r>
          </w:p>
        </w:tc>
        <w:tc>
          <w:tcPr>
            <w:tcW w:w="2268" w:type="dxa"/>
            <w:shd w:val="clear" w:color="auto" w:fill="auto"/>
            <w:vAlign w:val="center"/>
          </w:tcPr>
          <w:p w14:paraId="0A85844C" w14:textId="4A603606"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Southern Asia</w:t>
            </w:r>
          </w:p>
        </w:tc>
        <w:tc>
          <w:tcPr>
            <w:tcW w:w="992" w:type="dxa"/>
            <w:shd w:val="clear" w:color="auto" w:fill="auto"/>
            <w:vAlign w:val="center"/>
          </w:tcPr>
          <w:p w14:paraId="5A127F2D" w14:textId="23FDA854" w:rsidR="00441C77" w:rsidRPr="00FB0E4B" w:rsidRDefault="00441C77" w:rsidP="00FB0E4B">
            <w:pPr>
              <w:spacing w:before="0" w:after="0" w:line="240" w:lineRule="auto"/>
              <w:jc w:val="center"/>
              <w:rPr>
                <w:sz w:val="18"/>
                <w:szCs w:val="18"/>
              </w:rPr>
            </w:pPr>
            <w:r w:rsidRPr="00FB0E4B">
              <w:rPr>
                <w:sz w:val="18"/>
                <w:szCs w:val="18"/>
              </w:rPr>
              <w:t>EXW</w:t>
            </w:r>
          </w:p>
        </w:tc>
        <w:tc>
          <w:tcPr>
            <w:tcW w:w="992" w:type="dxa"/>
            <w:shd w:val="clear" w:color="auto" w:fill="auto"/>
            <w:vAlign w:val="center"/>
          </w:tcPr>
          <w:p w14:paraId="7DE51142" w14:textId="279B07CE"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0.55</w:t>
            </w:r>
          </w:p>
        </w:tc>
        <w:tc>
          <w:tcPr>
            <w:tcW w:w="1328" w:type="dxa"/>
            <w:shd w:val="clear" w:color="auto" w:fill="auto"/>
            <w:vAlign w:val="center"/>
          </w:tcPr>
          <w:p w14:paraId="57D405CA" w14:textId="5182E674"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38744503" w14:textId="77777777" w:rsidTr="00E80B6C">
        <w:trPr>
          <w:trHeight w:val="170"/>
          <w:jc w:val="center"/>
        </w:trPr>
        <w:tc>
          <w:tcPr>
            <w:tcW w:w="988" w:type="dxa"/>
            <w:vMerge/>
            <w:shd w:val="clear" w:color="auto" w:fill="FFF2CC" w:themeFill="accent4" w:themeFillTint="33"/>
          </w:tcPr>
          <w:p w14:paraId="07932FB3"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FFF2CC" w:themeFill="accent4" w:themeFillTint="33"/>
            <w:vAlign w:val="center"/>
          </w:tcPr>
          <w:p w14:paraId="05EA5ACF" w14:textId="2646DCD9"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FFF2CC" w:themeFill="accent4" w:themeFillTint="33"/>
            <w:vAlign w:val="center"/>
          </w:tcPr>
          <w:p w14:paraId="0AAA73E5" w14:textId="4E820499"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Packed</w:t>
            </w:r>
          </w:p>
        </w:tc>
        <w:tc>
          <w:tcPr>
            <w:tcW w:w="1417" w:type="dxa"/>
            <w:shd w:val="clear" w:color="auto" w:fill="FFF2CC" w:themeFill="accent4" w:themeFillTint="33"/>
            <w:vAlign w:val="center"/>
          </w:tcPr>
          <w:p w14:paraId="482CD09D" w14:textId="6CF74A54" w:rsidR="00441C77" w:rsidRPr="00FB0E4B" w:rsidRDefault="00441C77" w:rsidP="00FB0E4B">
            <w:pPr>
              <w:spacing w:before="0" w:after="0" w:line="240" w:lineRule="auto"/>
              <w:jc w:val="left"/>
              <w:rPr>
                <w:sz w:val="18"/>
                <w:szCs w:val="18"/>
              </w:rPr>
            </w:pPr>
            <w:r w:rsidRPr="00FB0E4B">
              <w:rPr>
                <w:sz w:val="18"/>
                <w:szCs w:val="18"/>
                <w:lang w:val="en-US" w:eastAsia="en-US"/>
              </w:rPr>
              <w:t>Conventional</w:t>
            </w:r>
          </w:p>
        </w:tc>
        <w:tc>
          <w:tcPr>
            <w:tcW w:w="2268" w:type="dxa"/>
            <w:shd w:val="clear" w:color="auto" w:fill="FFF2CC" w:themeFill="accent4" w:themeFillTint="33"/>
            <w:vAlign w:val="center"/>
          </w:tcPr>
          <w:p w14:paraId="7A4BE841" w14:textId="59093194"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Southern Asia</w:t>
            </w:r>
          </w:p>
        </w:tc>
        <w:tc>
          <w:tcPr>
            <w:tcW w:w="992" w:type="dxa"/>
            <w:shd w:val="clear" w:color="auto" w:fill="FFF2CC" w:themeFill="accent4" w:themeFillTint="33"/>
            <w:vAlign w:val="center"/>
          </w:tcPr>
          <w:p w14:paraId="79C87B65" w14:textId="37C6FCEE" w:rsidR="00441C77" w:rsidRPr="00FB0E4B" w:rsidRDefault="00441C77" w:rsidP="00FB0E4B">
            <w:pPr>
              <w:spacing w:before="0" w:after="0" w:line="240" w:lineRule="auto"/>
              <w:jc w:val="center"/>
              <w:rPr>
                <w:sz w:val="18"/>
                <w:szCs w:val="18"/>
              </w:rPr>
            </w:pPr>
            <w:r w:rsidRPr="00FB0E4B">
              <w:rPr>
                <w:sz w:val="18"/>
                <w:szCs w:val="18"/>
                <w:lang w:val="en-US" w:eastAsia="en-US"/>
              </w:rPr>
              <w:t>FOB</w:t>
            </w:r>
          </w:p>
        </w:tc>
        <w:tc>
          <w:tcPr>
            <w:tcW w:w="992" w:type="dxa"/>
            <w:shd w:val="clear" w:color="auto" w:fill="FFF2CC" w:themeFill="accent4" w:themeFillTint="33"/>
            <w:vAlign w:val="center"/>
          </w:tcPr>
          <w:p w14:paraId="0643C02F" w14:textId="0BE9E039"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0.55</w:t>
            </w:r>
          </w:p>
        </w:tc>
        <w:tc>
          <w:tcPr>
            <w:tcW w:w="1328" w:type="dxa"/>
            <w:shd w:val="clear" w:color="auto" w:fill="FFF2CC" w:themeFill="accent4" w:themeFillTint="33"/>
            <w:vAlign w:val="center"/>
          </w:tcPr>
          <w:p w14:paraId="70307615" w14:textId="531DCBE6"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45F1A2BE" w14:textId="77777777" w:rsidTr="00E80B6C">
        <w:trPr>
          <w:trHeight w:val="170"/>
          <w:jc w:val="center"/>
        </w:trPr>
        <w:tc>
          <w:tcPr>
            <w:tcW w:w="988" w:type="dxa"/>
            <w:vMerge/>
          </w:tcPr>
          <w:p w14:paraId="05EA4149"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auto"/>
            <w:vAlign w:val="center"/>
          </w:tcPr>
          <w:p w14:paraId="250FE90B" w14:textId="3499A8B7"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auto"/>
            <w:vAlign w:val="center"/>
          </w:tcPr>
          <w:p w14:paraId="6E6C0417" w14:textId="03AE17F2"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Packed</w:t>
            </w:r>
          </w:p>
        </w:tc>
        <w:tc>
          <w:tcPr>
            <w:tcW w:w="1417" w:type="dxa"/>
            <w:shd w:val="clear" w:color="auto" w:fill="auto"/>
            <w:vAlign w:val="center"/>
          </w:tcPr>
          <w:p w14:paraId="40E5CFEE" w14:textId="48D94427" w:rsidR="00441C77" w:rsidRPr="00FB0E4B" w:rsidRDefault="00441C77" w:rsidP="00FB0E4B">
            <w:pPr>
              <w:spacing w:before="0" w:after="0" w:line="240" w:lineRule="auto"/>
              <w:jc w:val="left"/>
              <w:rPr>
                <w:sz w:val="18"/>
                <w:szCs w:val="18"/>
              </w:rPr>
            </w:pPr>
            <w:r w:rsidRPr="00FB0E4B">
              <w:rPr>
                <w:sz w:val="18"/>
                <w:szCs w:val="18"/>
              </w:rPr>
              <w:t>Organic</w:t>
            </w:r>
          </w:p>
        </w:tc>
        <w:tc>
          <w:tcPr>
            <w:tcW w:w="2268" w:type="dxa"/>
            <w:shd w:val="clear" w:color="auto" w:fill="auto"/>
            <w:vAlign w:val="center"/>
          </w:tcPr>
          <w:p w14:paraId="4B66B4C1" w14:textId="100405EE"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Southern Asia</w:t>
            </w:r>
          </w:p>
        </w:tc>
        <w:tc>
          <w:tcPr>
            <w:tcW w:w="992" w:type="dxa"/>
            <w:shd w:val="clear" w:color="auto" w:fill="auto"/>
            <w:vAlign w:val="center"/>
          </w:tcPr>
          <w:p w14:paraId="7CE7410B" w14:textId="30927107" w:rsidR="00441C77" w:rsidRPr="00FB0E4B" w:rsidRDefault="00441C77" w:rsidP="00FB0E4B">
            <w:pPr>
              <w:spacing w:before="0" w:after="0" w:line="240" w:lineRule="auto"/>
              <w:jc w:val="center"/>
              <w:rPr>
                <w:sz w:val="18"/>
                <w:szCs w:val="18"/>
              </w:rPr>
            </w:pPr>
            <w:r w:rsidRPr="00FB0E4B">
              <w:rPr>
                <w:sz w:val="18"/>
                <w:szCs w:val="18"/>
              </w:rPr>
              <w:t>FOB</w:t>
            </w:r>
          </w:p>
        </w:tc>
        <w:tc>
          <w:tcPr>
            <w:tcW w:w="992" w:type="dxa"/>
            <w:shd w:val="clear" w:color="auto" w:fill="auto"/>
            <w:vAlign w:val="center"/>
          </w:tcPr>
          <w:p w14:paraId="69B3552A" w14:textId="6C5853B3"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0.69</w:t>
            </w:r>
          </w:p>
        </w:tc>
        <w:tc>
          <w:tcPr>
            <w:tcW w:w="1328" w:type="dxa"/>
            <w:shd w:val="clear" w:color="auto" w:fill="auto"/>
            <w:vAlign w:val="center"/>
          </w:tcPr>
          <w:p w14:paraId="1FD71037" w14:textId="008AB6AB"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08FEBD8D" w14:textId="77777777" w:rsidTr="00E80B6C">
        <w:trPr>
          <w:trHeight w:val="170"/>
          <w:jc w:val="center"/>
        </w:trPr>
        <w:tc>
          <w:tcPr>
            <w:tcW w:w="988" w:type="dxa"/>
            <w:vMerge/>
            <w:shd w:val="clear" w:color="auto" w:fill="FFF2CC" w:themeFill="accent4" w:themeFillTint="33"/>
          </w:tcPr>
          <w:p w14:paraId="0BF09C49" w14:textId="77777777" w:rsidR="00441C77" w:rsidRPr="00FB0E4B" w:rsidRDefault="00441C77" w:rsidP="00FB0E4B">
            <w:pPr>
              <w:spacing w:before="0" w:after="0" w:line="240" w:lineRule="auto"/>
              <w:jc w:val="left"/>
              <w:rPr>
                <w:b/>
                <w:bCs/>
                <w:sz w:val="18"/>
                <w:szCs w:val="18"/>
                <w:lang w:val="en-US" w:eastAsia="en-US"/>
              </w:rPr>
            </w:pPr>
          </w:p>
        </w:tc>
        <w:tc>
          <w:tcPr>
            <w:tcW w:w="988" w:type="dxa"/>
            <w:tcBorders>
              <w:top w:val="single" w:sz="4" w:space="0" w:color="EAFF4D"/>
              <w:bottom w:val="single" w:sz="4" w:space="0" w:color="EAFF4D"/>
              <w:right w:val="single" w:sz="4" w:space="0" w:color="EAFF4D"/>
            </w:tcBorders>
            <w:shd w:val="clear" w:color="auto" w:fill="FFF2CC" w:themeFill="accent4" w:themeFillTint="33"/>
            <w:vAlign w:val="center"/>
          </w:tcPr>
          <w:p w14:paraId="17857503" w14:textId="06D747F8"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75E6BDF7"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Packed</w:t>
            </w:r>
          </w:p>
        </w:tc>
        <w:tc>
          <w:tcPr>
            <w:tcW w:w="1417"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3012B0AE" w14:textId="77777777" w:rsidR="00441C77" w:rsidRPr="00FB0E4B" w:rsidRDefault="00441C77" w:rsidP="00FB0E4B">
            <w:pPr>
              <w:spacing w:before="0" w:after="0" w:line="240" w:lineRule="auto"/>
              <w:jc w:val="left"/>
              <w:rPr>
                <w:sz w:val="18"/>
                <w:szCs w:val="18"/>
              </w:rPr>
            </w:pPr>
            <w:r w:rsidRPr="00FB0E4B">
              <w:rPr>
                <w:sz w:val="18"/>
                <w:szCs w:val="18"/>
              </w:rPr>
              <w:t>Conventional</w:t>
            </w:r>
          </w:p>
        </w:tc>
        <w:tc>
          <w:tcPr>
            <w:tcW w:w="2268"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5810D81B" w14:textId="44F81972" w:rsidR="00441C77" w:rsidRPr="00FB0E4B" w:rsidRDefault="007F64A5" w:rsidP="006B76F2">
            <w:pPr>
              <w:spacing w:before="0" w:after="0" w:line="240" w:lineRule="auto"/>
              <w:jc w:val="left"/>
              <w:rPr>
                <w:sz w:val="18"/>
                <w:szCs w:val="18"/>
                <w:lang w:val="en-US" w:eastAsia="en-US"/>
              </w:rPr>
            </w:pPr>
            <w:r>
              <w:rPr>
                <w:sz w:val="18"/>
                <w:szCs w:val="18"/>
                <w:lang w:val="en-US" w:eastAsia="en-US"/>
              </w:rPr>
              <w:t>W</w:t>
            </w:r>
            <w:r w:rsidR="006B76F2" w:rsidRPr="006B76F2">
              <w:rPr>
                <w:sz w:val="18"/>
                <w:szCs w:val="18"/>
                <w:lang w:val="en-US" w:eastAsia="en-US"/>
              </w:rPr>
              <w:t>orldwide (exc</w:t>
            </w:r>
            <w:r w:rsidR="006B76F2">
              <w:rPr>
                <w:sz w:val="18"/>
                <w:szCs w:val="18"/>
                <w:lang w:val="en-US" w:eastAsia="en-US"/>
              </w:rPr>
              <w:t>ept</w:t>
            </w:r>
            <w:r w:rsidR="006B76F2" w:rsidRPr="006B76F2">
              <w:rPr>
                <w:sz w:val="18"/>
                <w:szCs w:val="18"/>
                <w:lang w:val="en-US" w:eastAsia="en-US"/>
              </w:rPr>
              <w:t xml:space="preserve"> regions with specific prices)</w:t>
            </w:r>
          </w:p>
        </w:tc>
        <w:tc>
          <w:tcPr>
            <w:tcW w:w="992"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2DD0684C" w14:textId="77777777" w:rsidR="00441C77" w:rsidRPr="00FB0E4B" w:rsidRDefault="00441C77" w:rsidP="00FB0E4B">
            <w:pPr>
              <w:spacing w:before="0" w:after="0" w:line="240" w:lineRule="auto"/>
              <w:jc w:val="center"/>
              <w:rPr>
                <w:sz w:val="18"/>
                <w:szCs w:val="18"/>
              </w:rPr>
            </w:pPr>
            <w:r w:rsidRPr="00FB0E4B">
              <w:rPr>
                <w:sz w:val="18"/>
                <w:szCs w:val="18"/>
              </w:rPr>
              <w:t>FOB</w:t>
            </w:r>
          </w:p>
        </w:tc>
        <w:tc>
          <w:tcPr>
            <w:tcW w:w="992"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79B17AF4" w14:textId="09AF1E4D"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0.79</w:t>
            </w:r>
          </w:p>
        </w:tc>
        <w:tc>
          <w:tcPr>
            <w:tcW w:w="1328"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28C6E637"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132DAA92" w14:textId="77777777" w:rsidTr="00E80B6C">
        <w:trPr>
          <w:trHeight w:val="170"/>
          <w:jc w:val="center"/>
        </w:trPr>
        <w:tc>
          <w:tcPr>
            <w:tcW w:w="988" w:type="dxa"/>
            <w:vMerge/>
          </w:tcPr>
          <w:p w14:paraId="5C0EDB70" w14:textId="77777777" w:rsidR="00441C77" w:rsidRPr="00FB0E4B" w:rsidRDefault="00441C77" w:rsidP="00FB0E4B">
            <w:pPr>
              <w:spacing w:before="0" w:after="0" w:line="240" w:lineRule="auto"/>
              <w:jc w:val="left"/>
              <w:rPr>
                <w:b/>
                <w:bCs/>
                <w:sz w:val="18"/>
                <w:szCs w:val="18"/>
                <w:lang w:val="en-US" w:eastAsia="en-US"/>
              </w:rPr>
            </w:pPr>
          </w:p>
        </w:tc>
        <w:tc>
          <w:tcPr>
            <w:tcW w:w="988" w:type="dxa"/>
            <w:tcBorders>
              <w:top w:val="single" w:sz="4" w:space="0" w:color="EAFF4D"/>
              <w:bottom w:val="single" w:sz="4" w:space="0" w:color="EAFF4D"/>
              <w:right w:val="single" w:sz="4" w:space="0" w:color="EAFF4D"/>
            </w:tcBorders>
            <w:shd w:val="clear" w:color="auto" w:fill="auto"/>
            <w:vAlign w:val="center"/>
          </w:tcPr>
          <w:p w14:paraId="2FBA8318" w14:textId="28A84FEC"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tcBorders>
              <w:top w:val="single" w:sz="4" w:space="0" w:color="EAFF4D"/>
              <w:left w:val="single" w:sz="4" w:space="0" w:color="EAFF4D"/>
              <w:bottom w:val="single" w:sz="4" w:space="0" w:color="EAFF4D"/>
              <w:right w:val="single" w:sz="4" w:space="0" w:color="EAFF4D"/>
            </w:tcBorders>
            <w:shd w:val="clear" w:color="auto" w:fill="auto"/>
            <w:vAlign w:val="center"/>
          </w:tcPr>
          <w:p w14:paraId="21440464"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Packed</w:t>
            </w:r>
          </w:p>
        </w:tc>
        <w:tc>
          <w:tcPr>
            <w:tcW w:w="1417" w:type="dxa"/>
            <w:tcBorders>
              <w:top w:val="single" w:sz="4" w:space="0" w:color="EAFF4D"/>
              <w:left w:val="single" w:sz="4" w:space="0" w:color="EAFF4D"/>
              <w:bottom w:val="single" w:sz="4" w:space="0" w:color="EAFF4D"/>
              <w:right w:val="single" w:sz="4" w:space="0" w:color="EAFF4D"/>
            </w:tcBorders>
            <w:shd w:val="clear" w:color="auto" w:fill="auto"/>
            <w:vAlign w:val="center"/>
          </w:tcPr>
          <w:p w14:paraId="49692D8B" w14:textId="77777777" w:rsidR="00441C77" w:rsidRPr="00FB0E4B" w:rsidRDefault="00441C77" w:rsidP="00FB0E4B">
            <w:pPr>
              <w:spacing w:before="0" w:after="0" w:line="240" w:lineRule="auto"/>
              <w:jc w:val="left"/>
              <w:rPr>
                <w:sz w:val="18"/>
                <w:szCs w:val="18"/>
              </w:rPr>
            </w:pPr>
            <w:r w:rsidRPr="00FB0E4B">
              <w:rPr>
                <w:sz w:val="18"/>
                <w:szCs w:val="18"/>
              </w:rPr>
              <w:t>Organic</w:t>
            </w:r>
          </w:p>
        </w:tc>
        <w:tc>
          <w:tcPr>
            <w:tcW w:w="2268" w:type="dxa"/>
            <w:tcBorders>
              <w:top w:val="single" w:sz="4" w:space="0" w:color="EAFF4D"/>
              <w:left w:val="single" w:sz="4" w:space="0" w:color="EAFF4D"/>
              <w:bottom w:val="single" w:sz="4" w:space="0" w:color="EAFF4D"/>
              <w:right w:val="single" w:sz="4" w:space="0" w:color="EAFF4D"/>
            </w:tcBorders>
            <w:shd w:val="clear" w:color="auto" w:fill="auto"/>
            <w:vAlign w:val="center"/>
          </w:tcPr>
          <w:p w14:paraId="630516B2" w14:textId="7D94035B" w:rsidR="00441C77" w:rsidRPr="00FB0E4B" w:rsidRDefault="007F64A5" w:rsidP="00FB0E4B">
            <w:pPr>
              <w:spacing w:before="0" w:after="0" w:line="240" w:lineRule="auto"/>
              <w:jc w:val="left"/>
              <w:rPr>
                <w:sz w:val="18"/>
                <w:szCs w:val="18"/>
                <w:lang w:val="en-US" w:eastAsia="en-US"/>
              </w:rPr>
            </w:pPr>
            <w:r>
              <w:rPr>
                <w:sz w:val="18"/>
                <w:szCs w:val="18"/>
                <w:lang w:val="en-US" w:eastAsia="en-US"/>
              </w:rPr>
              <w:t>W</w:t>
            </w:r>
            <w:r w:rsidRPr="006B76F2">
              <w:rPr>
                <w:sz w:val="18"/>
                <w:szCs w:val="18"/>
                <w:lang w:val="en-US" w:eastAsia="en-US"/>
              </w:rPr>
              <w:t>orldwide (exc</w:t>
            </w:r>
            <w:r>
              <w:rPr>
                <w:sz w:val="18"/>
                <w:szCs w:val="18"/>
                <w:lang w:val="en-US" w:eastAsia="en-US"/>
              </w:rPr>
              <w:t>ept</w:t>
            </w:r>
            <w:r w:rsidRPr="006B76F2">
              <w:rPr>
                <w:sz w:val="18"/>
                <w:szCs w:val="18"/>
                <w:lang w:val="en-US" w:eastAsia="en-US"/>
              </w:rPr>
              <w:t xml:space="preserve"> regions with specific prices)</w:t>
            </w:r>
          </w:p>
        </w:tc>
        <w:tc>
          <w:tcPr>
            <w:tcW w:w="992" w:type="dxa"/>
            <w:tcBorders>
              <w:top w:val="single" w:sz="4" w:space="0" w:color="EAFF4D"/>
              <w:left w:val="single" w:sz="4" w:space="0" w:color="EAFF4D"/>
              <w:bottom w:val="single" w:sz="4" w:space="0" w:color="EAFF4D"/>
              <w:right w:val="single" w:sz="4" w:space="0" w:color="EAFF4D"/>
            </w:tcBorders>
            <w:shd w:val="clear" w:color="auto" w:fill="auto"/>
            <w:vAlign w:val="center"/>
          </w:tcPr>
          <w:p w14:paraId="40BE98FC" w14:textId="77777777" w:rsidR="00441C77" w:rsidRPr="00FB0E4B" w:rsidRDefault="00441C77" w:rsidP="00FB0E4B">
            <w:pPr>
              <w:spacing w:before="0" w:after="0" w:line="240" w:lineRule="auto"/>
              <w:jc w:val="center"/>
              <w:rPr>
                <w:sz w:val="18"/>
                <w:szCs w:val="18"/>
              </w:rPr>
            </w:pPr>
            <w:r w:rsidRPr="00FB0E4B">
              <w:rPr>
                <w:sz w:val="18"/>
                <w:szCs w:val="18"/>
              </w:rPr>
              <w:t>FOB</w:t>
            </w:r>
          </w:p>
        </w:tc>
        <w:tc>
          <w:tcPr>
            <w:tcW w:w="992" w:type="dxa"/>
            <w:tcBorders>
              <w:top w:val="single" w:sz="4" w:space="0" w:color="EAFF4D"/>
              <w:left w:val="single" w:sz="4" w:space="0" w:color="EAFF4D"/>
              <w:bottom w:val="single" w:sz="4" w:space="0" w:color="EAFF4D"/>
              <w:right w:val="single" w:sz="4" w:space="0" w:color="EAFF4D"/>
            </w:tcBorders>
            <w:shd w:val="clear" w:color="auto" w:fill="auto"/>
            <w:vAlign w:val="center"/>
          </w:tcPr>
          <w:p w14:paraId="71EF5C8D" w14:textId="2000DAD3"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0.94</w:t>
            </w:r>
          </w:p>
        </w:tc>
        <w:tc>
          <w:tcPr>
            <w:tcW w:w="1328" w:type="dxa"/>
            <w:tcBorders>
              <w:top w:val="single" w:sz="4" w:space="0" w:color="EAFF4D"/>
              <w:left w:val="single" w:sz="4" w:space="0" w:color="EAFF4D"/>
              <w:bottom w:val="single" w:sz="4" w:space="0" w:color="EAFF4D"/>
              <w:right w:val="single" w:sz="4" w:space="0" w:color="EAFF4D"/>
            </w:tcBorders>
            <w:shd w:val="clear" w:color="auto" w:fill="auto"/>
            <w:vAlign w:val="center"/>
          </w:tcPr>
          <w:p w14:paraId="06BE7B72"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0.12</w:t>
            </w:r>
          </w:p>
        </w:tc>
      </w:tr>
      <w:tr w:rsidR="00441C77" w:rsidRPr="00FB0E4B" w14:paraId="2C7410CD" w14:textId="77777777" w:rsidTr="00E80B6C">
        <w:trPr>
          <w:trHeight w:val="170"/>
          <w:jc w:val="center"/>
        </w:trPr>
        <w:tc>
          <w:tcPr>
            <w:tcW w:w="988" w:type="dxa"/>
            <w:vMerge/>
            <w:shd w:val="clear" w:color="auto" w:fill="92D050"/>
          </w:tcPr>
          <w:p w14:paraId="7FD6B360" w14:textId="77777777" w:rsidR="00441C77" w:rsidRPr="00FB0E4B" w:rsidRDefault="00441C77" w:rsidP="00FB0E4B">
            <w:pPr>
              <w:spacing w:before="0" w:after="0" w:line="240" w:lineRule="auto"/>
              <w:jc w:val="center"/>
              <w:rPr>
                <w:b/>
                <w:bCs/>
                <w:color w:val="FFFFFF"/>
                <w:sz w:val="18"/>
                <w:szCs w:val="18"/>
                <w:lang w:val="en-US" w:eastAsia="en-US"/>
              </w:rPr>
            </w:pPr>
          </w:p>
        </w:tc>
        <w:tc>
          <w:tcPr>
            <w:tcW w:w="988" w:type="dxa"/>
            <w:tcBorders>
              <w:top w:val="single" w:sz="4" w:space="0" w:color="BED600"/>
              <w:bottom w:val="single" w:sz="4" w:space="0" w:color="BED600"/>
              <w:right w:val="nil"/>
            </w:tcBorders>
            <w:shd w:val="clear" w:color="auto" w:fill="92D050"/>
            <w:vAlign w:val="center"/>
            <w:hideMark/>
          </w:tcPr>
          <w:p w14:paraId="59F55FF4" w14:textId="41053533"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Product</w:t>
            </w:r>
          </w:p>
        </w:tc>
        <w:tc>
          <w:tcPr>
            <w:tcW w:w="1422" w:type="dxa"/>
            <w:tcBorders>
              <w:top w:val="single" w:sz="4" w:space="0" w:color="BED600"/>
              <w:left w:val="nil"/>
              <w:bottom w:val="single" w:sz="4" w:space="0" w:color="BED600"/>
              <w:right w:val="nil"/>
            </w:tcBorders>
            <w:shd w:val="clear" w:color="auto" w:fill="92D050"/>
            <w:vAlign w:val="center"/>
            <w:hideMark/>
          </w:tcPr>
          <w:p w14:paraId="356F0755" w14:textId="77777777"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Form</w:t>
            </w:r>
          </w:p>
        </w:tc>
        <w:tc>
          <w:tcPr>
            <w:tcW w:w="1417" w:type="dxa"/>
            <w:tcBorders>
              <w:top w:val="single" w:sz="4" w:space="0" w:color="BED600"/>
              <w:left w:val="nil"/>
              <w:bottom w:val="single" w:sz="4" w:space="0" w:color="BED600"/>
              <w:right w:val="nil"/>
            </w:tcBorders>
            <w:shd w:val="clear" w:color="auto" w:fill="92D050"/>
            <w:vAlign w:val="center"/>
            <w:hideMark/>
          </w:tcPr>
          <w:p w14:paraId="7F790CBC" w14:textId="77777777"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Quality</w:t>
            </w:r>
          </w:p>
        </w:tc>
        <w:tc>
          <w:tcPr>
            <w:tcW w:w="2268" w:type="dxa"/>
            <w:tcBorders>
              <w:top w:val="single" w:sz="4" w:space="0" w:color="BED600"/>
              <w:left w:val="nil"/>
              <w:bottom w:val="single" w:sz="4" w:space="0" w:color="BED600"/>
              <w:right w:val="nil"/>
            </w:tcBorders>
            <w:shd w:val="clear" w:color="auto" w:fill="92D050"/>
            <w:vAlign w:val="center"/>
            <w:hideMark/>
          </w:tcPr>
          <w:p w14:paraId="61EA85BA" w14:textId="77777777"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Country</w:t>
            </w:r>
          </w:p>
        </w:tc>
        <w:tc>
          <w:tcPr>
            <w:tcW w:w="992" w:type="dxa"/>
            <w:tcBorders>
              <w:top w:val="single" w:sz="4" w:space="0" w:color="BED600"/>
              <w:left w:val="nil"/>
              <w:bottom w:val="single" w:sz="4" w:space="0" w:color="BED600"/>
              <w:right w:val="nil"/>
            </w:tcBorders>
            <w:shd w:val="clear" w:color="auto" w:fill="92D050"/>
            <w:vAlign w:val="center"/>
            <w:hideMark/>
          </w:tcPr>
          <w:p w14:paraId="4518AB29" w14:textId="77777777"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Price level</w:t>
            </w:r>
          </w:p>
        </w:tc>
        <w:tc>
          <w:tcPr>
            <w:tcW w:w="992" w:type="dxa"/>
            <w:tcBorders>
              <w:top w:val="single" w:sz="4" w:space="0" w:color="BED600"/>
              <w:left w:val="nil"/>
              <w:bottom w:val="single" w:sz="4" w:space="0" w:color="BED600"/>
              <w:right w:val="nil"/>
            </w:tcBorders>
            <w:shd w:val="clear" w:color="auto" w:fill="92D050"/>
            <w:vAlign w:val="center"/>
            <w:hideMark/>
          </w:tcPr>
          <w:p w14:paraId="4F187EB1" w14:textId="7186D91A"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FMP  (USD/kg)</w:t>
            </w:r>
          </w:p>
        </w:tc>
        <w:tc>
          <w:tcPr>
            <w:tcW w:w="1328" w:type="dxa"/>
            <w:tcBorders>
              <w:top w:val="single" w:sz="4" w:space="0" w:color="BED600"/>
              <w:left w:val="nil"/>
              <w:bottom w:val="single" w:sz="4" w:space="0" w:color="BED600"/>
              <w:right w:val="nil"/>
            </w:tcBorders>
            <w:shd w:val="clear" w:color="auto" w:fill="92D050"/>
            <w:vAlign w:val="center"/>
            <w:hideMark/>
          </w:tcPr>
          <w:p w14:paraId="79C12A7C" w14:textId="77777777"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FP</w:t>
            </w:r>
          </w:p>
        </w:tc>
      </w:tr>
      <w:tr w:rsidR="00441C77" w:rsidRPr="00FB0E4B" w14:paraId="66E25D35" w14:textId="77777777" w:rsidTr="00E80B6C">
        <w:trPr>
          <w:trHeight w:val="170"/>
          <w:jc w:val="center"/>
        </w:trPr>
        <w:tc>
          <w:tcPr>
            <w:tcW w:w="988" w:type="dxa"/>
            <w:vMerge/>
            <w:shd w:val="clear" w:color="auto" w:fill="FFF2CC" w:themeFill="accent4" w:themeFillTint="33"/>
          </w:tcPr>
          <w:p w14:paraId="71D90552" w14:textId="77777777" w:rsidR="00441C77" w:rsidRPr="00FB0E4B" w:rsidRDefault="00441C77" w:rsidP="00FB0E4B">
            <w:pPr>
              <w:spacing w:before="0" w:after="0" w:line="240" w:lineRule="auto"/>
              <w:jc w:val="left"/>
              <w:rPr>
                <w:b/>
                <w:bCs/>
                <w:sz w:val="18"/>
                <w:szCs w:val="18"/>
                <w:lang w:val="en-US" w:eastAsia="en-US"/>
              </w:rPr>
            </w:pPr>
          </w:p>
        </w:tc>
        <w:tc>
          <w:tcPr>
            <w:tcW w:w="988" w:type="dxa"/>
            <w:tcBorders>
              <w:top w:val="single" w:sz="4" w:space="0" w:color="BED600"/>
            </w:tcBorders>
            <w:shd w:val="clear" w:color="auto" w:fill="FFF2CC" w:themeFill="accent4" w:themeFillTint="33"/>
            <w:vAlign w:val="center"/>
            <w:hideMark/>
          </w:tcPr>
          <w:p w14:paraId="7BB54610" w14:textId="6AAC5F83"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tcBorders>
              <w:top w:val="single" w:sz="4" w:space="0" w:color="BED600"/>
            </w:tcBorders>
            <w:shd w:val="clear" w:color="auto" w:fill="FFF2CC" w:themeFill="accent4" w:themeFillTint="33"/>
            <w:vAlign w:val="center"/>
            <w:hideMark/>
          </w:tcPr>
          <w:p w14:paraId="744DD07E"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For processing</w:t>
            </w:r>
          </w:p>
        </w:tc>
        <w:tc>
          <w:tcPr>
            <w:tcW w:w="1417" w:type="dxa"/>
            <w:tcBorders>
              <w:top w:val="single" w:sz="4" w:space="0" w:color="BED600"/>
            </w:tcBorders>
            <w:shd w:val="clear" w:color="auto" w:fill="FFF2CC" w:themeFill="accent4" w:themeFillTint="33"/>
            <w:vAlign w:val="center"/>
            <w:hideMark/>
          </w:tcPr>
          <w:p w14:paraId="68445533"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Conventional</w:t>
            </w:r>
          </w:p>
        </w:tc>
        <w:tc>
          <w:tcPr>
            <w:tcW w:w="2268" w:type="dxa"/>
            <w:tcBorders>
              <w:top w:val="single" w:sz="4" w:space="0" w:color="BED600"/>
            </w:tcBorders>
            <w:shd w:val="clear" w:color="auto" w:fill="FFF2CC" w:themeFill="accent4" w:themeFillTint="33"/>
            <w:vAlign w:val="center"/>
            <w:hideMark/>
          </w:tcPr>
          <w:p w14:paraId="2085873B" w14:textId="17BCBFF6"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Worldwide</w:t>
            </w:r>
          </w:p>
        </w:tc>
        <w:tc>
          <w:tcPr>
            <w:tcW w:w="992" w:type="dxa"/>
            <w:tcBorders>
              <w:top w:val="single" w:sz="4" w:space="0" w:color="BED600"/>
            </w:tcBorders>
            <w:shd w:val="clear" w:color="auto" w:fill="FFF2CC" w:themeFill="accent4" w:themeFillTint="33"/>
            <w:vAlign w:val="center"/>
            <w:hideMark/>
          </w:tcPr>
          <w:p w14:paraId="7D6AE182" w14:textId="77777777"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EXW</w:t>
            </w:r>
          </w:p>
        </w:tc>
        <w:tc>
          <w:tcPr>
            <w:tcW w:w="992" w:type="dxa"/>
            <w:tcBorders>
              <w:top w:val="single" w:sz="4" w:space="0" w:color="BED600"/>
            </w:tcBorders>
            <w:shd w:val="clear" w:color="auto" w:fill="FFF2CC" w:themeFill="accent4" w:themeFillTint="33"/>
            <w:vAlign w:val="center"/>
            <w:hideMark/>
          </w:tcPr>
          <w:p w14:paraId="07958CC0" w14:textId="63C6C47D"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Commercial Price</w:t>
            </w:r>
          </w:p>
        </w:tc>
        <w:tc>
          <w:tcPr>
            <w:tcW w:w="1328" w:type="dxa"/>
            <w:tcBorders>
              <w:top w:val="single" w:sz="4" w:space="0" w:color="BED600"/>
            </w:tcBorders>
            <w:shd w:val="clear" w:color="auto" w:fill="FFF2CC" w:themeFill="accent4" w:themeFillTint="33"/>
            <w:vAlign w:val="center"/>
            <w:hideMark/>
          </w:tcPr>
          <w:p w14:paraId="0F455142" w14:textId="0CC50F2E"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15% of the commercial price</w:t>
            </w:r>
          </w:p>
        </w:tc>
      </w:tr>
      <w:tr w:rsidR="00441C77" w:rsidRPr="00FB0E4B" w14:paraId="2C571387" w14:textId="77777777" w:rsidTr="00E80B6C">
        <w:trPr>
          <w:trHeight w:val="170"/>
          <w:jc w:val="center"/>
        </w:trPr>
        <w:tc>
          <w:tcPr>
            <w:tcW w:w="988" w:type="dxa"/>
            <w:vMerge/>
          </w:tcPr>
          <w:p w14:paraId="086B9556"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auto"/>
            <w:vAlign w:val="center"/>
          </w:tcPr>
          <w:p w14:paraId="151E9AFD" w14:textId="2DAE07BC"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auto"/>
            <w:vAlign w:val="center"/>
          </w:tcPr>
          <w:p w14:paraId="522CA27E" w14:textId="7777777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For processing</w:t>
            </w:r>
          </w:p>
        </w:tc>
        <w:tc>
          <w:tcPr>
            <w:tcW w:w="1417" w:type="dxa"/>
            <w:shd w:val="clear" w:color="auto" w:fill="auto"/>
            <w:vAlign w:val="center"/>
          </w:tcPr>
          <w:p w14:paraId="156299A9" w14:textId="77777777" w:rsidR="00441C77" w:rsidRPr="00FB0E4B" w:rsidRDefault="00441C77" w:rsidP="00FB0E4B">
            <w:pPr>
              <w:spacing w:before="0" w:after="0" w:line="240" w:lineRule="auto"/>
              <w:jc w:val="left"/>
              <w:rPr>
                <w:sz w:val="18"/>
                <w:szCs w:val="18"/>
                <w:lang w:val="en-US" w:eastAsia="en-US"/>
              </w:rPr>
            </w:pPr>
            <w:r w:rsidRPr="00FB0E4B">
              <w:rPr>
                <w:sz w:val="18"/>
                <w:szCs w:val="18"/>
              </w:rPr>
              <w:t>Organic</w:t>
            </w:r>
          </w:p>
        </w:tc>
        <w:tc>
          <w:tcPr>
            <w:tcW w:w="2268" w:type="dxa"/>
            <w:shd w:val="clear" w:color="auto" w:fill="auto"/>
            <w:vAlign w:val="center"/>
          </w:tcPr>
          <w:p w14:paraId="02ADB2BA" w14:textId="57F99227"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Worldwide</w:t>
            </w:r>
          </w:p>
        </w:tc>
        <w:tc>
          <w:tcPr>
            <w:tcW w:w="992" w:type="dxa"/>
            <w:shd w:val="clear" w:color="auto" w:fill="auto"/>
            <w:vAlign w:val="center"/>
          </w:tcPr>
          <w:p w14:paraId="247CBA9F" w14:textId="77777777" w:rsidR="00441C77" w:rsidRPr="00FB0E4B" w:rsidRDefault="00441C77" w:rsidP="00FB0E4B">
            <w:pPr>
              <w:spacing w:before="0" w:after="0" w:line="240" w:lineRule="auto"/>
              <w:jc w:val="center"/>
              <w:rPr>
                <w:sz w:val="18"/>
                <w:szCs w:val="18"/>
                <w:lang w:val="en-US" w:eastAsia="en-US"/>
              </w:rPr>
            </w:pPr>
            <w:r w:rsidRPr="00FB0E4B">
              <w:rPr>
                <w:sz w:val="18"/>
                <w:szCs w:val="18"/>
              </w:rPr>
              <w:t>EXW</w:t>
            </w:r>
          </w:p>
        </w:tc>
        <w:tc>
          <w:tcPr>
            <w:tcW w:w="992" w:type="dxa"/>
            <w:shd w:val="clear" w:color="auto" w:fill="auto"/>
            <w:vAlign w:val="center"/>
          </w:tcPr>
          <w:p w14:paraId="663A5898" w14:textId="55C89EA5"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Commercial Price</w:t>
            </w:r>
          </w:p>
        </w:tc>
        <w:tc>
          <w:tcPr>
            <w:tcW w:w="1328" w:type="dxa"/>
            <w:shd w:val="clear" w:color="auto" w:fill="auto"/>
            <w:vAlign w:val="center"/>
          </w:tcPr>
          <w:p w14:paraId="6765B95A" w14:textId="5D21B240"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15% of the commercial price</w:t>
            </w:r>
          </w:p>
        </w:tc>
      </w:tr>
      <w:tr w:rsidR="00441C77" w:rsidRPr="00FB0E4B" w14:paraId="5CF4D98B" w14:textId="77777777" w:rsidTr="00E80B6C">
        <w:trPr>
          <w:trHeight w:val="170"/>
          <w:jc w:val="center"/>
        </w:trPr>
        <w:tc>
          <w:tcPr>
            <w:tcW w:w="988" w:type="dxa"/>
            <w:vMerge w:val="restart"/>
            <w:shd w:val="clear" w:color="auto" w:fill="92D050"/>
            <w:textDirection w:val="btLr"/>
            <w:vAlign w:val="center"/>
          </w:tcPr>
          <w:p w14:paraId="73F4823B" w14:textId="51BDCB9A" w:rsidR="00441C77" w:rsidRPr="00FB0E4B" w:rsidRDefault="00441C77" w:rsidP="00FB0E4B">
            <w:pPr>
              <w:spacing w:before="0" w:after="0" w:line="240" w:lineRule="auto"/>
              <w:ind w:left="113" w:right="113"/>
              <w:jc w:val="center"/>
              <w:rPr>
                <w:b/>
                <w:bCs/>
                <w:color w:val="FFFFFF"/>
                <w:sz w:val="18"/>
                <w:szCs w:val="18"/>
                <w:lang w:val="en-US" w:eastAsia="en-US"/>
              </w:rPr>
            </w:pPr>
            <w:r w:rsidRPr="00FB0E4B">
              <w:rPr>
                <w:b/>
                <w:bCs/>
                <w:sz w:val="18"/>
                <w:szCs w:val="18"/>
                <w:lang w:val="en-US" w:eastAsia="en-US"/>
              </w:rPr>
              <w:t>Prepared and preserved fruits and vegetables</w:t>
            </w:r>
          </w:p>
        </w:tc>
        <w:tc>
          <w:tcPr>
            <w:tcW w:w="988" w:type="dxa"/>
            <w:shd w:val="clear" w:color="auto" w:fill="92D050"/>
            <w:vAlign w:val="center"/>
          </w:tcPr>
          <w:p w14:paraId="1BA6D18B" w14:textId="224CB626"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Product</w:t>
            </w:r>
          </w:p>
        </w:tc>
        <w:tc>
          <w:tcPr>
            <w:tcW w:w="1422" w:type="dxa"/>
            <w:shd w:val="clear" w:color="auto" w:fill="92D050"/>
            <w:vAlign w:val="center"/>
          </w:tcPr>
          <w:p w14:paraId="69C1775E" w14:textId="1E3CCCCA"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Form</w:t>
            </w:r>
          </w:p>
        </w:tc>
        <w:tc>
          <w:tcPr>
            <w:tcW w:w="1417" w:type="dxa"/>
            <w:shd w:val="clear" w:color="auto" w:fill="92D050"/>
            <w:vAlign w:val="center"/>
          </w:tcPr>
          <w:p w14:paraId="3E0D41FE" w14:textId="1D8936CE"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Quality</w:t>
            </w:r>
          </w:p>
        </w:tc>
        <w:tc>
          <w:tcPr>
            <w:tcW w:w="2268" w:type="dxa"/>
            <w:shd w:val="clear" w:color="auto" w:fill="92D050"/>
            <w:vAlign w:val="center"/>
          </w:tcPr>
          <w:p w14:paraId="1DA975E2" w14:textId="34083303"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Country</w:t>
            </w:r>
          </w:p>
        </w:tc>
        <w:tc>
          <w:tcPr>
            <w:tcW w:w="992" w:type="dxa"/>
            <w:shd w:val="clear" w:color="auto" w:fill="92D050"/>
            <w:vAlign w:val="center"/>
          </w:tcPr>
          <w:p w14:paraId="150FE8CB" w14:textId="59846FC0"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Price level</w:t>
            </w:r>
          </w:p>
        </w:tc>
        <w:tc>
          <w:tcPr>
            <w:tcW w:w="992" w:type="dxa"/>
            <w:shd w:val="clear" w:color="auto" w:fill="92D050"/>
            <w:vAlign w:val="center"/>
          </w:tcPr>
          <w:p w14:paraId="42B6C981" w14:textId="6D99F22B"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FMP (USD/MT of juice)</w:t>
            </w:r>
          </w:p>
        </w:tc>
        <w:tc>
          <w:tcPr>
            <w:tcW w:w="1328" w:type="dxa"/>
            <w:shd w:val="clear" w:color="auto" w:fill="92D050"/>
            <w:vAlign w:val="center"/>
          </w:tcPr>
          <w:p w14:paraId="795D3A5E" w14:textId="27E6A71F" w:rsidR="00441C77" w:rsidRPr="00FB0E4B" w:rsidRDefault="00441C77" w:rsidP="00FB0E4B">
            <w:pPr>
              <w:spacing w:before="0" w:after="0" w:line="240" w:lineRule="auto"/>
              <w:jc w:val="center"/>
              <w:rPr>
                <w:b/>
                <w:bCs/>
                <w:color w:val="FFFFFF"/>
                <w:sz w:val="18"/>
                <w:szCs w:val="18"/>
                <w:lang w:val="en-US" w:eastAsia="en-US"/>
              </w:rPr>
            </w:pPr>
            <w:r w:rsidRPr="00FB0E4B">
              <w:rPr>
                <w:b/>
                <w:bCs/>
                <w:color w:val="FFFFFF"/>
                <w:sz w:val="18"/>
                <w:szCs w:val="18"/>
                <w:lang w:val="en-US" w:eastAsia="en-US"/>
              </w:rPr>
              <w:t>FP</w:t>
            </w:r>
            <w:r w:rsidR="00E80B6C">
              <w:rPr>
                <w:b/>
                <w:bCs/>
                <w:color w:val="FFFFFF"/>
                <w:sz w:val="18"/>
                <w:szCs w:val="18"/>
                <w:lang w:val="en-US" w:eastAsia="en-US"/>
              </w:rPr>
              <w:t xml:space="preserve"> </w:t>
            </w:r>
            <w:r w:rsidR="00E80B6C" w:rsidRPr="00FB0E4B">
              <w:rPr>
                <w:b/>
                <w:bCs/>
                <w:color w:val="FFFFFF"/>
                <w:sz w:val="18"/>
                <w:szCs w:val="18"/>
                <w:lang w:val="en-US" w:eastAsia="en-US"/>
              </w:rPr>
              <w:t>(USD/MT of juice)</w:t>
            </w:r>
          </w:p>
        </w:tc>
      </w:tr>
      <w:tr w:rsidR="00441C77" w:rsidRPr="00FB0E4B" w14:paraId="21209E53" w14:textId="77777777" w:rsidTr="00E80B6C">
        <w:trPr>
          <w:trHeight w:val="170"/>
          <w:jc w:val="center"/>
        </w:trPr>
        <w:tc>
          <w:tcPr>
            <w:tcW w:w="988" w:type="dxa"/>
            <w:vMerge/>
          </w:tcPr>
          <w:p w14:paraId="3899FDF0" w14:textId="2CE469DB"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auto"/>
            <w:vAlign w:val="center"/>
          </w:tcPr>
          <w:p w14:paraId="109AA2D8" w14:textId="0634F4A4" w:rsidR="00441C77" w:rsidRPr="00FB0E4B" w:rsidRDefault="00441C77" w:rsidP="00FB0E4B">
            <w:pPr>
              <w:spacing w:before="0" w:after="0" w:line="240" w:lineRule="auto"/>
              <w:jc w:val="left"/>
              <w:rPr>
                <w:b/>
                <w:bCs/>
                <w:color w:val="FFFFFF"/>
                <w:sz w:val="18"/>
                <w:szCs w:val="18"/>
                <w:lang w:val="en-US" w:eastAsia="en-US"/>
              </w:rPr>
            </w:pPr>
            <w:r w:rsidRPr="00FB0E4B">
              <w:rPr>
                <w:b/>
                <w:bCs/>
                <w:sz w:val="18"/>
                <w:szCs w:val="18"/>
                <w:lang w:val="en-US" w:eastAsia="en-US"/>
              </w:rPr>
              <w:t>Limes</w:t>
            </w:r>
          </w:p>
        </w:tc>
        <w:tc>
          <w:tcPr>
            <w:tcW w:w="1422" w:type="dxa"/>
            <w:shd w:val="clear" w:color="auto" w:fill="auto"/>
            <w:vAlign w:val="center"/>
          </w:tcPr>
          <w:p w14:paraId="1765EA99" w14:textId="1A46FE71" w:rsidR="00441C77" w:rsidRPr="00FB0E4B" w:rsidRDefault="00441C77" w:rsidP="00FB0E4B">
            <w:pPr>
              <w:spacing w:before="0" w:after="0" w:line="240" w:lineRule="auto"/>
              <w:jc w:val="left"/>
              <w:rPr>
                <w:b/>
                <w:bCs/>
                <w:color w:val="FFFFFF"/>
                <w:sz w:val="18"/>
                <w:szCs w:val="18"/>
                <w:lang w:val="en-US" w:eastAsia="en-US"/>
              </w:rPr>
            </w:pPr>
            <w:r w:rsidRPr="00FB0E4B">
              <w:rPr>
                <w:sz w:val="18"/>
                <w:szCs w:val="18"/>
                <w:lang w:val="en-US" w:eastAsia="en-US"/>
              </w:rPr>
              <w:t>Not from concentrate juice</w:t>
            </w:r>
          </w:p>
        </w:tc>
        <w:tc>
          <w:tcPr>
            <w:tcW w:w="1417" w:type="dxa"/>
            <w:shd w:val="clear" w:color="auto" w:fill="auto"/>
            <w:vAlign w:val="center"/>
          </w:tcPr>
          <w:p w14:paraId="3BE5B6EA" w14:textId="0F936221" w:rsidR="00441C77" w:rsidRPr="00FB0E4B" w:rsidRDefault="00441C77" w:rsidP="00FB0E4B">
            <w:pPr>
              <w:spacing w:before="0" w:after="0" w:line="240" w:lineRule="auto"/>
              <w:jc w:val="left"/>
              <w:rPr>
                <w:b/>
                <w:bCs/>
                <w:color w:val="FFFFFF"/>
                <w:sz w:val="18"/>
                <w:szCs w:val="18"/>
                <w:lang w:val="en-US" w:eastAsia="en-US"/>
              </w:rPr>
            </w:pPr>
            <w:r w:rsidRPr="00FB0E4B">
              <w:rPr>
                <w:sz w:val="18"/>
                <w:szCs w:val="18"/>
                <w:lang w:val="en-US" w:eastAsia="en-US"/>
              </w:rPr>
              <w:t>Conventional</w:t>
            </w:r>
          </w:p>
        </w:tc>
        <w:tc>
          <w:tcPr>
            <w:tcW w:w="2268" w:type="dxa"/>
            <w:shd w:val="clear" w:color="auto" w:fill="auto"/>
            <w:vAlign w:val="center"/>
          </w:tcPr>
          <w:p w14:paraId="76A705D9" w14:textId="24284FE0" w:rsidR="00441C77" w:rsidRPr="00FB0E4B" w:rsidRDefault="00441C77" w:rsidP="00FB0E4B">
            <w:pPr>
              <w:spacing w:before="0" w:after="0" w:line="240" w:lineRule="auto"/>
              <w:jc w:val="left"/>
              <w:rPr>
                <w:b/>
                <w:bCs/>
                <w:color w:val="FFFFFF"/>
                <w:sz w:val="18"/>
                <w:szCs w:val="18"/>
                <w:lang w:val="en-US" w:eastAsia="en-US"/>
              </w:rPr>
            </w:pPr>
            <w:r w:rsidRPr="00FB0E4B">
              <w:rPr>
                <w:sz w:val="18"/>
                <w:szCs w:val="18"/>
                <w:lang w:val="en-US" w:eastAsia="en-US"/>
              </w:rPr>
              <w:t>Worldwide</w:t>
            </w:r>
          </w:p>
        </w:tc>
        <w:tc>
          <w:tcPr>
            <w:tcW w:w="992" w:type="dxa"/>
            <w:shd w:val="clear" w:color="auto" w:fill="auto"/>
            <w:vAlign w:val="center"/>
          </w:tcPr>
          <w:p w14:paraId="6C6928C6" w14:textId="4521703E" w:rsidR="00441C77" w:rsidRPr="00FB0E4B" w:rsidRDefault="00441C77" w:rsidP="00FB0E4B">
            <w:pPr>
              <w:spacing w:before="0" w:after="0" w:line="240" w:lineRule="auto"/>
              <w:jc w:val="center"/>
              <w:rPr>
                <w:b/>
                <w:bCs/>
                <w:color w:val="FFFFFF"/>
                <w:sz w:val="18"/>
                <w:szCs w:val="18"/>
                <w:lang w:val="en-US" w:eastAsia="en-US"/>
              </w:rPr>
            </w:pPr>
            <w:r w:rsidRPr="00FB0E4B">
              <w:rPr>
                <w:sz w:val="18"/>
                <w:szCs w:val="18"/>
                <w:lang w:val="en-US" w:eastAsia="en-US"/>
              </w:rPr>
              <w:t>FOB</w:t>
            </w:r>
          </w:p>
        </w:tc>
        <w:tc>
          <w:tcPr>
            <w:tcW w:w="992" w:type="dxa"/>
            <w:shd w:val="clear" w:color="auto" w:fill="auto"/>
            <w:vAlign w:val="center"/>
          </w:tcPr>
          <w:p w14:paraId="664D0F6B" w14:textId="2242B5EA" w:rsidR="00441C77" w:rsidRPr="00FB0E4B" w:rsidRDefault="00441C77" w:rsidP="00FB0E4B">
            <w:pPr>
              <w:spacing w:before="0" w:after="0" w:line="240" w:lineRule="auto"/>
              <w:jc w:val="center"/>
              <w:rPr>
                <w:b/>
                <w:bCs/>
                <w:color w:val="FFFFFF"/>
                <w:sz w:val="18"/>
                <w:szCs w:val="18"/>
                <w:lang w:val="en-US" w:eastAsia="en-US"/>
              </w:rPr>
            </w:pPr>
            <w:r w:rsidRPr="00FB0E4B">
              <w:rPr>
                <w:sz w:val="18"/>
                <w:szCs w:val="18"/>
                <w:lang w:val="en-US" w:eastAsia="en-US"/>
              </w:rPr>
              <w:t>1733</w:t>
            </w:r>
          </w:p>
        </w:tc>
        <w:tc>
          <w:tcPr>
            <w:tcW w:w="1328" w:type="dxa"/>
            <w:shd w:val="clear" w:color="auto" w:fill="auto"/>
            <w:vAlign w:val="center"/>
          </w:tcPr>
          <w:p w14:paraId="35555A22" w14:textId="464799DD" w:rsidR="00441C77" w:rsidRPr="00FB0E4B" w:rsidRDefault="00441C77" w:rsidP="00FB0E4B">
            <w:pPr>
              <w:spacing w:before="0" w:after="0" w:line="240" w:lineRule="auto"/>
              <w:jc w:val="center"/>
              <w:rPr>
                <w:b/>
                <w:bCs/>
                <w:color w:val="FFFFFF"/>
                <w:sz w:val="18"/>
                <w:szCs w:val="18"/>
                <w:lang w:val="en-US" w:eastAsia="en-US"/>
              </w:rPr>
            </w:pPr>
            <w:r w:rsidRPr="00FB0E4B">
              <w:rPr>
                <w:sz w:val="18"/>
                <w:szCs w:val="18"/>
                <w:lang w:val="en-US" w:eastAsia="en-US"/>
              </w:rPr>
              <w:t>300</w:t>
            </w:r>
          </w:p>
        </w:tc>
      </w:tr>
      <w:tr w:rsidR="00441C77" w:rsidRPr="00FB0E4B" w14:paraId="5BD9504C" w14:textId="77777777" w:rsidTr="00E80B6C">
        <w:trPr>
          <w:trHeight w:val="170"/>
          <w:jc w:val="center"/>
        </w:trPr>
        <w:tc>
          <w:tcPr>
            <w:tcW w:w="988" w:type="dxa"/>
            <w:vMerge/>
            <w:shd w:val="clear" w:color="auto" w:fill="FFF2CC" w:themeFill="accent4" w:themeFillTint="33"/>
          </w:tcPr>
          <w:p w14:paraId="1BF9AD51" w14:textId="77777777" w:rsidR="00441C77" w:rsidRPr="00FB0E4B" w:rsidRDefault="00441C77" w:rsidP="00FB0E4B">
            <w:pPr>
              <w:spacing w:before="0" w:after="0" w:line="240" w:lineRule="auto"/>
              <w:jc w:val="left"/>
              <w:rPr>
                <w:b/>
                <w:bCs/>
                <w:sz w:val="18"/>
                <w:szCs w:val="18"/>
                <w:lang w:val="en-US" w:eastAsia="en-US"/>
              </w:rPr>
            </w:pPr>
          </w:p>
        </w:tc>
        <w:tc>
          <w:tcPr>
            <w:tcW w:w="988" w:type="dxa"/>
            <w:shd w:val="clear" w:color="auto" w:fill="FFF2CC" w:themeFill="accent4" w:themeFillTint="33"/>
            <w:vAlign w:val="center"/>
          </w:tcPr>
          <w:p w14:paraId="49033392" w14:textId="06AFA92C" w:rsidR="00441C77" w:rsidRPr="00FB0E4B" w:rsidRDefault="00441C77" w:rsidP="00FB0E4B">
            <w:pPr>
              <w:spacing w:before="0" w:after="0" w:line="240" w:lineRule="auto"/>
              <w:jc w:val="left"/>
              <w:rPr>
                <w:b/>
                <w:bCs/>
                <w:sz w:val="18"/>
                <w:szCs w:val="18"/>
                <w:lang w:val="en-US" w:eastAsia="en-US"/>
              </w:rPr>
            </w:pPr>
            <w:r w:rsidRPr="00FB0E4B">
              <w:rPr>
                <w:b/>
                <w:bCs/>
                <w:sz w:val="18"/>
                <w:szCs w:val="18"/>
                <w:lang w:val="en-US" w:eastAsia="en-US"/>
              </w:rPr>
              <w:t>Limes</w:t>
            </w:r>
          </w:p>
        </w:tc>
        <w:tc>
          <w:tcPr>
            <w:tcW w:w="1422" w:type="dxa"/>
            <w:shd w:val="clear" w:color="auto" w:fill="FFF2CC" w:themeFill="accent4" w:themeFillTint="33"/>
            <w:vAlign w:val="center"/>
          </w:tcPr>
          <w:p w14:paraId="1ADE500B" w14:textId="3801372A"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Not from concentrate juice</w:t>
            </w:r>
          </w:p>
        </w:tc>
        <w:tc>
          <w:tcPr>
            <w:tcW w:w="1417" w:type="dxa"/>
            <w:shd w:val="clear" w:color="auto" w:fill="FFF2CC" w:themeFill="accent4" w:themeFillTint="33"/>
            <w:vAlign w:val="center"/>
          </w:tcPr>
          <w:p w14:paraId="5DB16DF7" w14:textId="06C871AD" w:rsidR="00441C77" w:rsidRPr="00FB0E4B" w:rsidRDefault="00441C77" w:rsidP="00FB0E4B">
            <w:pPr>
              <w:spacing w:before="0" w:after="0" w:line="240" w:lineRule="auto"/>
              <w:jc w:val="left"/>
              <w:rPr>
                <w:sz w:val="18"/>
                <w:szCs w:val="18"/>
                <w:lang w:val="en-US" w:eastAsia="en-US"/>
              </w:rPr>
            </w:pPr>
            <w:r w:rsidRPr="00FB0E4B">
              <w:rPr>
                <w:sz w:val="18"/>
                <w:szCs w:val="18"/>
              </w:rPr>
              <w:t>Organic</w:t>
            </w:r>
          </w:p>
        </w:tc>
        <w:tc>
          <w:tcPr>
            <w:tcW w:w="2268" w:type="dxa"/>
            <w:shd w:val="clear" w:color="auto" w:fill="FFF2CC" w:themeFill="accent4" w:themeFillTint="33"/>
            <w:vAlign w:val="center"/>
          </w:tcPr>
          <w:p w14:paraId="7AD490DE" w14:textId="52BDB74A" w:rsidR="00441C77" w:rsidRPr="00FB0E4B" w:rsidRDefault="00441C77" w:rsidP="00FB0E4B">
            <w:pPr>
              <w:spacing w:before="0" w:after="0" w:line="240" w:lineRule="auto"/>
              <w:jc w:val="left"/>
              <w:rPr>
                <w:sz w:val="18"/>
                <w:szCs w:val="18"/>
                <w:lang w:val="en-US" w:eastAsia="en-US"/>
              </w:rPr>
            </w:pPr>
            <w:r w:rsidRPr="00FB0E4B">
              <w:rPr>
                <w:sz w:val="18"/>
                <w:szCs w:val="18"/>
                <w:lang w:val="en-US" w:eastAsia="en-US"/>
              </w:rPr>
              <w:t>Worldwide</w:t>
            </w:r>
          </w:p>
        </w:tc>
        <w:tc>
          <w:tcPr>
            <w:tcW w:w="992" w:type="dxa"/>
            <w:shd w:val="clear" w:color="auto" w:fill="FFF2CC" w:themeFill="accent4" w:themeFillTint="33"/>
            <w:vAlign w:val="center"/>
          </w:tcPr>
          <w:p w14:paraId="25A89F35" w14:textId="3B9F7FA6" w:rsidR="00441C77" w:rsidRPr="00FB0E4B" w:rsidRDefault="00441C77" w:rsidP="00FB0E4B">
            <w:pPr>
              <w:spacing w:before="0" w:after="0" w:line="240" w:lineRule="auto"/>
              <w:jc w:val="center"/>
              <w:rPr>
                <w:sz w:val="18"/>
                <w:szCs w:val="18"/>
                <w:lang w:val="en-US" w:eastAsia="en-US"/>
              </w:rPr>
            </w:pPr>
            <w:r w:rsidRPr="00FB0E4B">
              <w:rPr>
                <w:sz w:val="18"/>
                <w:szCs w:val="18"/>
              </w:rPr>
              <w:t>FOB</w:t>
            </w:r>
          </w:p>
        </w:tc>
        <w:tc>
          <w:tcPr>
            <w:tcW w:w="992" w:type="dxa"/>
            <w:shd w:val="clear" w:color="auto" w:fill="FFF2CC" w:themeFill="accent4" w:themeFillTint="33"/>
            <w:vAlign w:val="center"/>
          </w:tcPr>
          <w:p w14:paraId="338B8E4D" w14:textId="17332F76"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2093</w:t>
            </w:r>
          </w:p>
        </w:tc>
        <w:tc>
          <w:tcPr>
            <w:tcW w:w="1328" w:type="dxa"/>
            <w:shd w:val="clear" w:color="auto" w:fill="FFF2CC" w:themeFill="accent4" w:themeFillTint="33"/>
            <w:vAlign w:val="center"/>
          </w:tcPr>
          <w:p w14:paraId="0BDEFE89" w14:textId="2D6F8E3D" w:rsidR="00441C77" w:rsidRPr="00FB0E4B" w:rsidRDefault="00441C77" w:rsidP="00FB0E4B">
            <w:pPr>
              <w:spacing w:before="0" w:after="0" w:line="240" w:lineRule="auto"/>
              <w:jc w:val="center"/>
              <w:rPr>
                <w:sz w:val="18"/>
                <w:szCs w:val="18"/>
                <w:lang w:val="en-US" w:eastAsia="en-US"/>
              </w:rPr>
            </w:pPr>
            <w:r w:rsidRPr="00FB0E4B">
              <w:rPr>
                <w:sz w:val="18"/>
                <w:szCs w:val="18"/>
                <w:lang w:val="en-US" w:eastAsia="en-US"/>
              </w:rPr>
              <w:t>300</w:t>
            </w:r>
          </w:p>
        </w:tc>
      </w:tr>
    </w:tbl>
    <w:p w14:paraId="0DF83DBC" w14:textId="43B056CE" w:rsidR="00542D45" w:rsidRDefault="00542D45" w:rsidP="003D2AD0"/>
    <w:p w14:paraId="5EFF04C3" w14:textId="77777777" w:rsidR="00542D45" w:rsidRDefault="00542D45">
      <w:pPr>
        <w:spacing w:before="0" w:after="0" w:line="240" w:lineRule="auto"/>
        <w:jc w:val="left"/>
      </w:pPr>
      <w:r>
        <w:br w:type="page"/>
      </w:r>
    </w:p>
    <w:p w14:paraId="3888F05C" w14:textId="20C4E52B" w:rsidR="00E90457" w:rsidRDefault="00542D45" w:rsidP="003D2AD0">
      <w:r>
        <w:lastRenderedPageBreak/>
        <w:t>The rationales to come to these proposals are summarized as follows:</w:t>
      </w:r>
    </w:p>
    <w:p w14:paraId="2EB088F2" w14:textId="6125F136" w:rsidR="0014592B" w:rsidRPr="00B0595C" w:rsidRDefault="0014592B" w:rsidP="003D2AD0">
      <w:pPr>
        <w:rPr>
          <w:b/>
        </w:rPr>
      </w:pPr>
      <w:r w:rsidRPr="00B0595C">
        <w:rPr>
          <w:b/>
        </w:rPr>
        <w:t>Rationales for the fresh limes FMP for the 3 regions:</w:t>
      </w:r>
    </w:p>
    <w:p w14:paraId="442987C2" w14:textId="25932976" w:rsidR="0014592B" w:rsidRPr="00B0595C" w:rsidRDefault="00B0595C" w:rsidP="003D2AD0">
      <w:r w:rsidRPr="00B0595C">
        <w:t>The base reference of the COSP analysis is built at the level of “Fresh Limes” at EXW level, unpacked, and conventional (see annex). From this level, we build the incremental cost calculations as follows:</w:t>
      </w:r>
    </w:p>
    <w:p w14:paraId="22FB7A4F" w14:textId="77777777" w:rsidR="00FA45A3" w:rsidRPr="00B0595C" w:rsidRDefault="0014592B" w:rsidP="00661E91">
      <w:pPr>
        <w:pStyle w:val="ListParagraph"/>
        <w:numPr>
          <w:ilvl w:val="0"/>
          <w:numId w:val="9"/>
        </w:numPr>
        <w:rPr>
          <w:sz w:val="20"/>
          <w:szCs w:val="20"/>
        </w:rPr>
      </w:pPr>
      <w:r w:rsidRPr="00B0595C">
        <w:rPr>
          <w:sz w:val="20"/>
          <w:szCs w:val="20"/>
        </w:rPr>
        <w:t>FMP FOB packed</w:t>
      </w:r>
      <w:r w:rsidR="00F92CA0" w:rsidRPr="00B0595C">
        <w:rPr>
          <w:sz w:val="20"/>
          <w:szCs w:val="20"/>
        </w:rPr>
        <w:t xml:space="preserve"> (</w:t>
      </w:r>
      <w:r w:rsidR="00E80B6C" w:rsidRPr="00B0595C">
        <w:rPr>
          <w:sz w:val="20"/>
          <w:szCs w:val="20"/>
        </w:rPr>
        <w:t xml:space="preserve">see </w:t>
      </w:r>
      <w:r w:rsidR="00E80B6C" w:rsidRPr="00B0595C">
        <w:rPr>
          <w:sz w:val="20"/>
          <w:szCs w:val="20"/>
        </w:rPr>
        <w:fldChar w:fldCharType="begin"/>
      </w:r>
      <w:r w:rsidR="00E80B6C" w:rsidRPr="00B0595C">
        <w:rPr>
          <w:sz w:val="20"/>
          <w:szCs w:val="20"/>
        </w:rPr>
        <w:instrText xml:space="preserve"> REF _Ref49944684 \h  \* MERGEFORMAT </w:instrText>
      </w:r>
      <w:r w:rsidR="00E80B6C" w:rsidRPr="00B0595C">
        <w:rPr>
          <w:sz w:val="20"/>
          <w:szCs w:val="20"/>
        </w:rPr>
      </w:r>
      <w:r w:rsidR="00E80B6C" w:rsidRPr="00B0595C">
        <w:rPr>
          <w:sz w:val="20"/>
          <w:szCs w:val="20"/>
        </w:rPr>
        <w:fldChar w:fldCharType="separate"/>
      </w:r>
      <w:r w:rsidR="00E80B6C" w:rsidRPr="00B0595C">
        <w:rPr>
          <w:sz w:val="20"/>
          <w:szCs w:val="20"/>
        </w:rPr>
        <w:t>Question 10</w:t>
      </w:r>
      <w:r w:rsidR="00E80B6C" w:rsidRPr="00B0595C">
        <w:rPr>
          <w:sz w:val="20"/>
          <w:szCs w:val="20"/>
        </w:rPr>
        <w:fldChar w:fldCharType="end"/>
      </w:r>
      <w:r w:rsidR="00F92CA0" w:rsidRPr="00B0595C">
        <w:rPr>
          <w:sz w:val="20"/>
          <w:szCs w:val="20"/>
        </w:rPr>
        <w:t>)</w:t>
      </w:r>
      <w:r w:rsidRPr="00B0595C">
        <w:rPr>
          <w:sz w:val="20"/>
          <w:szCs w:val="20"/>
        </w:rPr>
        <w:t xml:space="preserve"> = FMP EXW unpacked + packing costs + export costs (for each region)</w:t>
      </w:r>
    </w:p>
    <w:p w14:paraId="2AFC939F" w14:textId="0EF9DF62" w:rsidR="0014592B" w:rsidRPr="00B0595C" w:rsidRDefault="0014592B" w:rsidP="00661E91">
      <w:pPr>
        <w:pStyle w:val="ListParagraph"/>
        <w:numPr>
          <w:ilvl w:val="0"/>
          <w:numId w:val="9"/>
        </w:numPr>
        <w:rPr>
          <w:sz w:val="20"/>
          <w:szCs w:val="20"/>
        </w:rPr>
      </w:pPr>
      <w:r w:rsidRPr="00B0595C">
        <w:rPr>
          <w:sz w:val="20"/>
          <w:szCs w:val="20"/>
        </w:rPr>
        <w:t>Organic FMP = Conventional FMP + 0.144 (see annex regression coefficient for organic dummy)</w:t>
      </w:r>
    </w:p>
    <w:p w14:paraId="30FD7352" w14:textId="49713699" w:rsidR="0014592B" w:rsidRPr="00B0595C" w:rsidRDefault="0014592B" w:rsidP="003D2AD0">
      <w:pPr>
        <w:rPr>
          <w:b/>
        </w:rPr>
      </w:pPr>
      <w:r w:rsidRPr="00B0595C">
        <w:rPr>
          <w:b/>
        </w:rPr>
        <w:t xml:space="preserve">Rationale for the fresh limes FMP for the </w:t>
      </w:r>
      <w:r w:rsidR="005F5C4C" w:rsidRPr="00B0595C">
        <w:rPr>
          <w:b/>
        </w:rPr>
        <w:t>region Worldwide (except regions with specific prices)</w:t>
      </w:r>
    </w:p>
    <w:p w14:paraId="5EABBBFF" w14:textId="04A13BC9" w:rsidR="0014592B" w:rsidRDefault="00FA45A3" w:rsidP="003D2AD0">
      <w:r>
        <w:t xml:space="preserve">The proposal for FMP for the region </w:t>
      </w:r>
      <w:r w:rsidR="0014592B">
        <w:t>“</w:t>
      </w:r>
      <w:r w:rsidR="00440352" w:rsidRPr="00440352">
        <w:t>Worldwide (except regions with specific prices)</w:t>
      </w:r>
      <w:r w:rsidR="0014592B">
        <w:t xml:space="preserve">” </w:t>
      </w:r>
      <w:r>
        <w:t>is created based on the</w:t>
      </w:r>
      <w:r w:rsidR="0014592B">
        <w:t xml:space="preserve"> maximum FMP </w:t>
      </w:r>
      <w:r>
        <w:t xml:space="preserve">value </w:t>
      </w:r>
      <w:r w:rsidR="0014592B">
        <w:t xml:space="preserve">of the </w:t>
      </w:r>
      <w:r w:rsidR="00440352">
        <w:t>three</w:t>
      </w:r>
      <w:r>
        <w:t xml:space="preserve"> regions. This price level should</w:t>
      </w:r>
      <w:r w:rsidR="0014592B">
        <w:t xml:space="preserve"> allow other countries</w:t>
      </w:r>
      <w:r>
        <w:t>, in case applicable,</w:t>
      </w:r>
      <w:r w:rsidR="0014592B">
        <w:t xml:space="preserve"> to </w:t>
      </w:r>
      <w:r>
        <w:t>access the Fairtrade market in the future</w:t>
      </w:r>
      <w:r w:rsidR="00440352">
        <w:t xml:space="preserve"> without requesting a p</w:t>
      </w:r>
      <w:r w:rsidR="0014592B">
        <w:t xml:space="preserve">rice setting procedure. </w:t>
      </w:r>
    </w:p>
    <w:p w14:paraId="15907C8B" w14:textId="7232CCA2" w:rsidR="006E422D" w:rsidRPr="006E422D" w:rsidRDefault="006E422D" w:rsidP="003D2AD0">
      <w:pPr>
        <w:rPr>
          <w:b/>
        </w:rPr>
      </w:pPr>
      <w:r w:rsidRPr="006E422D">
        <w:rPr>
          <w:b/>
        </w:rPr>
        <w:t>Rationale for the FMP for limes for processing</w:t>
      </w:r>
    </w:p>
    <w:p w14:paraId="21E15472" w14:textId="17D981C8" w:rsidR="006E422D" w:rsidRDefault="006E422D" w:rsidP="003D2AD0">
      <w:r>
        <w:t>The COSP study</w:t>
      </w:r>
      <w:r w:rsidR="00FA45A3">
        <w:t xml:space="preserve"> only included</w:t>
      </w:r>
      <w:r>
        <w:t xml:space="preserve"> data on fresh limes for fresh consumption, and the </w:t>
      </w:r>
      <w:r w:rsidR="005F5C4C">
        <w:t>information from Fairtrade transactions</w:t>
      </w:r>
      <w:r>
        <w:t xml:space="preserve"> o</w:t>
      </w:r>
      <w:r w:rsidR="005F5C4C">
        <w:t>f</w:t>
      </w:r>
      <w:r>
        <w:t xml:space="preserve"> limes indicates the </w:t>
      </w:r>
      <w:r w:rsidR="00440352">
        <w:t>percentage</w:t>
      </w:r>
      <w:r>
        <w:t xml:space="preserve"> of volume sales of the limes for processing is </w:t>
      </w:r>
      <w:r w:rsidR="00FA45A3">
        <w:t>significantly low</w:t>
      </w:r>
      <w:r>
        <w:t xml:space="preserve">. </w:t>
      </w:r>
      <w:r w:rsidR="00E90457">
        <w:t>Therefore,</w:t>
      </w:r>
      <w:r>
        <w:t xml:space="preserve"> we propose to maintain the current prices as “Commercial prices” and FP as </w:t>
      </w:r>
      <w:r w:rsidR="00FA45A3">
        <w:t>“</w:t>
      </w:r>
      <w:r>
        <w:t>15% of the commercial prices</w:t>
      </w:r>
      <w:r w:rsidR="00FA45A3">
        <w:t>”</w:t>
      </w:r>
      <w:r>
        <w:t xml:space="preserve"> at the EXW level</w:t>
      </w:r>
      <w:r w:rsidR="00FA45A3">
        <w:t xml:space="preserve"> only</w:t>
      </w:r>
      <w:r>
        <w:t>.</w:t>
      </w:r>
    </w:p>
    <w:p w14:paraId="53CE188A" w14:textId="6B51DE9F" w:rsidR="006E422D" w:rsidRDefault="006E422D" w:rsidP="003D2AD0">
      <w:pPr>
        <w:rPr>
          <w:b/>
        </w:rPr>
      </w:pPr>
      <w:r>
        <w:rPr>
          <w:b/>
        </w:rPr>
        <w:t>Rationale for the Fairtrade Premium for all countries:</w:t>
      </w:r>
    </w:p>
    <w:p w14:paraId="3ED678EA" w14:textId="5613D9FF" w:rsidR="006E422D" w:rsidRPr="006E422D" w:rsidRDefault="00FA45A3" w:rsidP="003D2AD0">
      <w:r>
        <w:t xml:space="preserve">The </w:t>
      </w:r>
      <w:r w:rsidR="006E422D" w:rsidRPr="006E422D">
        <w:t>1</w:t>
      </w:r>
      <w:r w:rsidR="006E422D" w:rsidRPr="006E422D">
        <w:rPr>
          <w:vertAlign w:val="superscript"/>
        </w:rPr>
        <w:t>st</w:t>
      </w:r>
      <w:r w:rsidR="006E422D">
        <w:t xml:space="preserve"> consultation results to questions 10, 11 and 12 indicates that a fix</w:t>
      </w:r>
      <w:r>
        <w:t>ed value of</w:t>
      </w:r>
      <w:r w:rsidR="006E422D">
        <w:t xml:space="preserve"> FP is preferred by majority and that 0.12 USD per kg of fresh fruit has most of the votes. </w:t>
      </w:r>
    </w:p>
    <w:p w14:paraId="4442CFA9" w14:textId="61B40FC6" w:rsidR="006E422D" w:rsidRDefault="006E422D" w:rsidP="003D2AD0">
      <w:pPr>
        <w:rPr>
          <w:b/>
        </w:rPr>
      </w:pPr>
      <w:r w:rsidRPr="006E422D">
        <w:rPr>
          <w:b/>
        </w:rPr>
        <w:t>Rationale for the FMP for limes juice</w:t>
      </w:r>
    </w:p>
    <w:p w14:paraId="05712367" w14:textId="2DDDB2DC" w:rsidR="00E90457" w:rsidRPr="00E90457" w:rsidRDefault="006E422D" w:rsidP="003D2AD0">
      <w:r w:rsidRPr="00E90457">
        <w:t xml:space="preserve">Proposal to maintain only </w:t>
      </w:r>
      <w:r w:rsidR="00440352">
        <w:t>one</w:t>
      </w:r>
      <w:r w:rsidRPr="00E90457">
        <w:t xml:space="preserve"> worldwide price for this product</w:t>
      </w:r>
      <w:r w:rsidR="00E90457" w:rsidRPr="00E90457">
        <w:t xml:space="preserve"> at the FOB level</w:t>
      </w:r>
      <w:r w:rsidRPr="00E90457">
        <w:t>.</w:t>
      </w:r>
    </w:p>
    <w:p w14:paraId="33EE1397" w14:textId="583DFE4C" w:rsidR="006E422D" w:rsidRPr="00E90457" w:rsidRDefault="006E422D" w:rsidP="003D2AD0">
      <w:r w:rsidRPr="00E90457">
        <w:t>COSP results for EXW used as</w:t>
      </w:r>
      <w:r w:rsidR="00E90457" w:rsidRPr="00E90457">
        <w:t xml:space="preserve"> start of this calculation, as</w:t>
      </w:r>
      <w:r w:rsidRPr="00E90457">
        <w:t xml:space="preserve"> average fo</w:t>
      </w:r>
      <w:r w:rsidR="00E90457" w:rsidRPr="00E90457">
        <w:t>r</w:t>
      </w:r>
      <w:r w:rsidRPr="00E90457">
        <w:t xml:space="preserve"> the 3 regions</w:t>
      </w:r>
      <w:r w:rsidR="00E90457" w:rsidRPr="00E90457">
        <w:t xml:space="preserve"> (0.46)</w:t>
      </w:r>
      <w:r w:rsidRPr="00E90457">
        <w:t>,</w:t>
      </w:r>
      <w:r w:rsidR="00E90457" w:rsidRPr="00E90457">
        <w:t xml:space="preserve"> then </w:t>
      </w:r>
      <w:r w:rsidRPr="00E90457">
        <w:t>Export costs</w:t>
      </w:r>
      <w:r w:rsidR="00E90457" w:rsidRPr="00E90457">
        <w:t xml:space="preserve"> (average 0.11) and processing costs </w:t>
      </w:r>
      <w:r w:rsidRPr="00E90457">
        <w:t>(0.12 average</w:t>
      </w:r>
      <w:r w:rsidR="00E90457" w:rsidRPr="00E90457">
        <w:t>) added. Then converted to USD per MT of juice with the conversion ratio 2.5 Kg of fresh limes needed to produce 1 kg of lime juice, and 1000 kg = 1 MT.</w:t>
      </w:r>
    </w:p>
    <w:p w14:paraId="6ECDA15B" w14:textId="37767480" w:rsidR="006E422D" w:rsidRDefault="00E90457" w:rsidP="003D2AD0">
      <w:pPr>
        <w:rPr>
          <w:b/>
        </w:rPr>
      </w:pPr>
      <w:r>
        <w:rPr>
          <w:b/>
        </w:rPr>
        <w:t>Rationale for the FP for limes juice</w:t>
      </w:r>
    </w:p>
    <w:p w14:paraId="0E61A375" w14:textId="30CF137A" w:rsidR="00E90457" w:rsidRPr="00E90457" w:rsidRDefault="00E90457" w:rsidP="003D2AD0">
      <w:r w:rsidRPr="00E90457">
        <w:t>Keep the</w:t>
      </w:r>
      <w:r w:rsidR="00440352">
        <w:t xml:space="preserve"> value of</w:t>
      </w:r>
      <w:r w:rsidRPr="00E90457">
        <w:t xml:space="preserve"> 0,12 and transform to USD per MT of juice with the conversion ratio 2.5 Kg of fresh limes needed to produce 1 kg of lime juice, and 1000 kg = 1 MT</w:t>
      </w:r>
      <w:r>
        <w:t>.</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410CEC" w14:paraId="56D21C93" w14:textId="77777777" w:rsidTr="0095440E">
        <w:tc>
          <w:tcPr>
            <w:tcW w:w="9322" w:type="dxa"/>
            <w:shd w:val="clear" w:color="auto" w:fill="auto"/>
          </w:tcPr>
          <w:p w14:paraId="30842EC6" w14:textId="0957BEA7" w:rsidR="00410CEC" w:rsidRPr="00FE45CA" w:rsidRDefault="00410CEC" w:rsidP="0095440E">
            <w:pPr>
              <w:pStyle w:val="Caption"/>
              <w:spacing w:before="0" w:after="0" w:line="360" w:lineRule="auto"/>
            </w:pPr>
            <w:r w:rsidRPr="00FE45CA">
              <w:t xml:space="preserve">Question </w:t>
            </w:r>
            <w:r w:rsidRPr="00FE45CA">
              <w:fldChar w:fldCharType="begin"/>
            </w:r>
            <w:r w:rsidRPr="00FE45CA">
              <w:instrText xml:space="preserve"> SEQ Question \* ARABIC </w:instrText>
            </w:r>
            <w:r w:rsidRPr="00FE45CA">
              <w:fldChar w:fldCharType="separate"/>
            </w:r>
            <w:r w:rsidR="00956D02">
              <w:rPr>
                <w:noProof/>
              </w:rPr>
              <w:t>5</w:t>
            </w:r>
            <w:r w:rsidRPr="00FE45CA">
              <w:fldChar w:fldCharType="end"/>
            </w:r>
          </w:p>
          <w:p w14:paraId="168DBE81" w14:textId="504D6BB0" w:rsidR="00D9317B" w:rsidRPr="00FE45CA" w:rsidRDefault="00542D45" w:rsidP="00956D02">
            <w:pPr>
              <w:spacing w:before="0" w:after="0"/>
              <w:rPr>
                <w:u w:val="single"/>
              </w:rPr>
            </w:pPr>
            <w:r w:rsidRPr="00621FA1">
              <w:t>D</w:t>
            </w:r>
            <w:r w:rsidR="00621FA1">
              <w:t>o</w:t>
            </w:r>
            <w:r w:rsidRPr="00621FA1">
              <w:t xml:space="preserve"> you agree with the FMP proposed for all limes products?</w:t>
            </w:r>
            <w:r w:rsidR="00956D02">
              <w:t xml:space="preserve"> </w:t>
            </w:r>
            <w:r w:rsidRPr="00621FA1">
              <w:t>Please indicate your respons</w:t>
            </w:r>
            <w:r w:rsidR="009C44B0">
              <w:t xml:space="preserve">es in </w:t>
            </w:r>
            <w:r w:rsidR="00E80B6C">
              <w:t>the following table:</w:t>
            </w:r>
            <w:r>
              <w:rPr>
                <w:u w:val="single"/>
              </w:rPr>
              <w:t xml:space="preserve"> </w:t>
            </w:r>
          </w:p>
        </w:tc>
      </w:tr>
    </w:tbl>
    <w:p w14:paraId="074E4099" w14:textId="6010D465" w:rsidR="00542D45" w:rsidRDefault="00542D45" w:rsidP="00410CEC"/>
    <w:p w14:paraId="00B103FB" w14:textId="77777777" w:rsidR="00542D45" w:rsidRDefault="00542D45" w:rsidP="00410CEC">
      <w:pPr>
        <w:sectPr w:rsidR="00542D45" w:rsidSect="004C636D">
          <w:headerReference w:type="default" r:id="rId13"/>
          <w:footerReference w:type="even" r:id="rId14"/>
          <w:pgSz w:w="11909" w:h="16834" w:code="9"/>
          <w:pgMar w:top="1440" w:right="1440" w:bottom="899" w:left="1440" w:header="288" w:footer="288" w:gutter="0"/>
          <w:cols w:space="720"/>
          <w:docGrid w:linePitch="360"/>
        </w:sectPr>
      </w:pPr>
    </w:p>
    <w:p w14:paraId="3C3B8A50" w14:textId="56DCEE02" w:rsidR="008E4C0F" w:rsidRDefault="008E4C0F">
      <w:pPr>
        <w:spacing w:before="0" w:after="0" w:line="240" w:lineRule="auto"/>
        <w:jc w:val="left"/>
      </w:pPr>
    </w:p>
    <w:tbl>
      <w:tblPr>
        <w:tblW w:w="14453" w:type="dxa"/>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Layout w:type="fixed"/>
        <w:tblLook w:val="04A0" w:firstRow="1" w:lastRow="0" w:firstColumn="1" w:lastColumn="0" w:noHBand="0" w:noVBand="1"/>
      </w:tblPr>
      <w:tblGrid>
        <w:gridCol w:w="819"/>
        <w:gridCol w:w="2011"/>
        <w:gridCol w:w="1186"/>
        <w:gridCol w:w="3350"/>
        <w:gridCol w:w="586"/>
        <w:gridCol w:w="1115"/>
        <w:gridCol w:w="992"/>
        <w:gridCol w:w="1362"/>
        <w:gridCol w:w="3032"/>
      </w:tblGrid>
      <w:tr w:rsidR="00542D45" w:rsidRPr="00542D45" w14:paraId="609E5272" w14:textId="5BD4FFBC" w:rsidTr="00E80B6C">
        <w:trPr>
          <w:trHeight w:val="57"/>
        </w:trPr>
        <w:tc>
          <w:tcPr>
            <w:tcW w:w="819" w:type="dxa"/>
            <w:tcBorders>
              <w:top w:val="single" w:sz="4" w:space="0" w:color="BED600"/>
              <w:left w:val="single" w:sz="4" w:space="0" w:color="BED600"/>
              <w:bottom w:val="single" w:sz="4" w:space="0" w:color="BED600"/>
              <w:right w:val="nil"/>
            </w:tcBorders>
            <w:shd w:val="clear" w:color="auto" w:fill="92D050"/>
            <w:vAlign w:val="center"/>
            <w:hideMark/>
          </w:tcPr>
          <w:p w14:paraId="6EB84C0D" w14:textId="77777777" w:rsidR="00542D45" w:rsidRPr="00542D45" w:rsidRDefault="00542D45" w:rsidP="00542D45">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Product</w:t>
            </w:r>
          </w:p>
        </w:tc>
        <w:tc>
          <w:tcPr>
            <w:tcW w:w="2011" w:type="dxa"/>
            <w:tcBorders>
              <w:top w:val="single" w:sz="4" w:space="0" w:color="BED600"/>
              <w:left w:val="nil"/>
              <w:bottom w:val="single" w:sz="4" w:space="0" w:color="BED600"/>
              <w:right w:val="nil"/>
            </w:tcBorders>
            <w:shd w:val="clear" w:color="auto" w:fill="92D050"/>
            <w:vAlign w:val="center"/>
            <w:hideMark/>
          </w:tcPr>
          <w:p w14:paraId="2F4A8243" w14:textId="77777777" w:rsidR="00542D45" w:rsidRPr="00542D45" w:rsidRDefault="00542D45" w:rsidP="00542D45">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Form</w:t>
            </w:r>
          </w:p>
        </w:tc>
        <w:tc>
          <w:tcPr>
            <w:tcW w:w="1186" w:type="dxa"/>
            <w:tcBorders>
              <w:top w:val="single" w:sz="4" w:space="0" w:color="BED600"/>
              <w:left w:val="nil"/>
              <w:bottom w:val="single" w:sz="4" w:space="0" w:color="BED600"/>
              <w:right w:val="nil"/>
            </w:tcBorders>
            <w:shd w:val="clear" w:color="auto" w:fill="92D050"/>
            <w:vAlign w:val="center"/>
            <w:hideMark/>
          </w:tcPr>
          <w:p w14:paraId="587421C6" w14:textId="77777777" w:rsidR="00542D45" w:rsidRPr="00542D45" w:rsidRDefault="00542D45" w:rsidP="00542D45">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Quality</w:t>
            </w:r>
          </w:p>
        </w:tc>
        <w:tc>
          <w:tcPr>
            <w:tcW w:w="3350" w:type="dxa"/>
            <w:tcBorders>
              <w:top w:val="single" w:sz="4" w:space="0" w:color="BED600"/>
              <w:left w:val="nil"/>
              <w:bottom w:val="single" w:sz="4" w:space="0" w:color="BED600"/>
              <w:right w:val="nil"/>
            </w:tcBorders>
            <w:shd w:val="clear" w:color="auto" w:fill="92D050"/>
            <w:vAlign w:val="center"/>
            <w:hideMark/>
          </w:tcPr>
          <w:p w14:paraId="7A40962C" w14:textId="3C196AD8" w:rsidR="00542D45" w:rsidRPr="00542D45" w:rsidRDefault="0079784C" w:rsidP="00542D45">
            <w:pPr>
              <w:spacing w:before="0" w:after="0" w:line="240" w:lineRule="auto"/>
              <w:jc w:val="center"/>
              <w:rPr>
                <w:rFonts w:ascii="Calibri" w:hAnsi="Calibri" w:cs="Calibri"/>
                <w:b/>
                <w:bCs/>
                <w:sz w:val="16"/>
                <w:szCs w:val="16"/>
                <w:lang w:val="en-US" w:eastAsia="en-US"/>
              </w:rPr>
            </w:pPr>
            <w:r>
              <w:rPr>
                <w:rFonts w:ascii="Calibri" w:hAnsi="Calibri" w:cs="Calibri"/>
                <w:b/>
                <w:bCs/>
                <w:sz w:val="16"/>
                <w:szCs w:val="16"/>
                <w:lang w:val="en-US" w:eastAsia="en-US"/>
              </w:rPr>
              <w:t>Region</w:t>
            </w:r>
            <w:r>
              <w:rPr>
                <w:rStyle w:val="FootnoteReference"/>
                <w:rFonts w:ascii="Calibri" w:hAnsi="Calibri" w:cs="Calibri"/>
                <w:b/>
                <w:bCs/>
                <w:sz w:val="16"/>
                <w:szCs w:val="16"/>
                <w:lang w:val="en-US" w:eastAsia="en-US"/>
              </w:rPr>
              <w:footnoteReference w:id="7"/>
            </w:r>
            <w:r>
              <w:rPr>
                <w:rFonts w:ascii="Calibri" w:hAnsi="Calibri" w:cs="Calibri"/>
                <w:b/>
                <w:bCs/>
                <w:sz w:val="16"/>
                <w:szCs w:val="16"/>
                <w:lang w:val="en-US" w:eastAsia="en-US"/>
              </w:rPr>
              <w:t xml:space="preserve"> </w:t>
            </w:r>
          </w:p>
        </w:tc>
        <w:tc>
          <w:tcPr>
            <w:tcW w:w="586" w:type="dxa"/>
            <w:tcBorders>
              <w:top w:val="single" w:sz="4" w:space="0" w:color="BED600"/>
              <w:left w:val="nil"/>
              <w:bottom w:val="single" w:sz="4" w:space="0" w:color="BED600"/>
              <w:right w:val="nil"/>
            </w:tcBorders>
            <w:shd w:val="clear" w:color="auto" w:fill="92D050"/>
            <w:vAlign w:val="center"/>
            <w:hideMark/>
          </w:tcPr>
          <w:p w14:paraId="6E3ECC4E" w14:textId="77777777" w:rsidR="00542D45" w:rsidRPr="00542D45" w:rsidRDefault="00542D45" w:rsidP="00542D45">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Price level</w:t>
            </w:r>
          </w:p>
        </w:tc>
        <w:tc>
          <w:tcPr>
            <w:tcW w:w="1115" w:type="dxa"/>
            <w:tcBorders>
              <w:top w:val="single" w:sz="4" w:space="0" w:color="BED600"/>
              <w:left w:val="nil"/>
              <w:bottom w:val="single" w:sz="4" w:space="0" w:color="BED600"/>
              <w:right w:val="nil"/>
            </w:tcBorders>
            <w:shd w:val="clear" w:color="auto" w:fill="92D050"/>
            <w:vAlign w:val="center"/>
            <w:hideMark/>
          </w:tcPr>
          <w:p w14:paraId="39BCA2FE" w14:textId="6066ABEF" w:rsidR="00542D45" w:rsidRPr="00542D45" w:rsidRDefault="00542D45" w:rsidP="00542D45">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FMP (USD/KG)</w:t>
            </w:r>
          </w:p>
        </w:tc>
        <w:tc>
          <w:tcPr>
            <w:tcW w:w="992" w:type="dxa"/>
            <w:tcBorders>
              <w:top w:val="single" w:sz="4" w:space="0" w:color="BED600"/>
              <w:left w:val="nil"/>
              <w:bottom w:val="single" w:sz="4" w:space="0" w:color="BED600"/>
              <w:right w:val="nil"/>
            </w:tcBorders>
            <w:shd w:val="clear" w:color="auto" w:fill="FFFFFF" w:themeFill="background1"/>
            <w:vAlign w:val="center"/>
          </w:tcPr>
          <w:p w14:paraId="14C5B26F" w14:textId="57D08B39" w:rsidR="00542D45" w:rsidRPr="00542D45" w:rsidRDefault="0079784C" w:rsidP="00542D45">
            <w:pPr>
              <w:spacing w:before="0" w:after="0" w:line="240" w:lineRule="auto"/>
              <w:jc w:val="center"/>
              <w:rPr>
                <w:rFonts w:ascii="Calibri" w:hAnsi="Calibri" w:cs="Calibri"/>
                <w:b/>
                <w:bCs/>
                <w:sz w:val="16"/>
                <w:szCs w:val="16"/>
                <w:lang w:val="en-US" w:eastAsia="en-US"/>
              </w:rPr>
            </w:pPr>
            <w:r>
              <w:rPr>
                <w:rFonts w:ascii="Calibri" w:hAnsi="Calibri" w:cs="Calibri"/>
                <w:b/>
                <w:bCs/>
                <w:sz w:val="16"/>
                <w:szCs w:val="16"/>
                <w:lang w:val="en-US" w:eastAsia="en-US"/>
              </w:rPr>
              <w:t>Agree</w:t>
            </w:r>
          </w:p>
        </w:tc>
        <w:tc>
          <w:tcPr>
            <w:tcW w:w="1362" w:type="dxa"/>
            <w:tcBorders>
              <w:top w:val="single" w:sz="4" w:space="0" w:color="BED600"/>
              <w:left w:val="nil"/>
              <w:bottom w:val="single" w:sz="4" w:space="0" w:color="BED600"/>
              <w:right w:val="single" w:sz="4" w:space="0" w:color="BED600"/>
            </w:tcBorders>
            <w:shd w:val="clear" w:color="auto" w:fill="FFFFFF" w:themeFill="background1"/>
            <w:vAlign w:val="center"/>
          </w:tcPr>
          <w:p w14:paraId="7F5AFCB9" w14:textId="7679FE71" w:rsidR="00542D45" w:rsidRPr="00542D45" w:rsidRDefault="00542D45"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Disagree</w:t>
            </w:r>
          </w:p>
        </w:tc>
        <w:tc>
          <w:tcPr>
            <w:tcW w:w="3032" w:type="dxa"/>
            <w:tcBorders>
              <w:top w:val="single" w:sz="4" w:space="0" w:color="BED600"/>
              <w:left w:val="nil"/>
              <w:bottom w:val="single" w:sz="4" w:space="0" w:color="BED600"/>
              <w:right w:val="single" w:sz="4" w:space="0" w:color="BED600"/>
            </w:tcBorders>
            <w:shd w:val="clear" w:color="auto" w:fill="FFFFFF" w:themeFill="background1"/>
            <w:vAlign w:val="center"/>
          </w:tcPr>
          <w:p w14:paraId="1563C89C" w14:textId="3C09A9A5" w:rsidR="00542D45" w:rsidRPr="00542D45" w:rsidRDefault="00542D45" w:rsidP="00542D45">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Rationale/</w:t>
            </w:r>
            <w:r>
              <w:rPr>
                <w:rFonts w:ascii="Calibri" w:hAnsi="Calibri" w:cs="Calibri"/>
                <w:b/>
                <w:bCs/>
                <w:sz w:val="16"/>
                <w:szCs w:val="16"/>
                <w:lang w:val="en-US" w:eastAsia="en-US"/>
              </w:rPr>
              <w:t xml:space="preserve"> </w:t>
            </w:r>
            <w:r w:rsidRPr="00542D45">
              <w:rPr>
                <w:rFonts w:ascii="Calibri" w:hAnsi="Calibri" w:cs="Calibri"/>
                <w:b/>
                <w:bCs/>
                <w:sz w:val="16"/>
                <w:szCs w:val="16"/>
                <w:lang w:val="en-US" w:eastAsia="en-US"/>
              </w:rPr>
              <w:t>alternative</w:t>
            </w:r>
          </w:p>
        </w:tc>
      </w:tr>
      <w:tr w:rsidR="00542D45" w:rsidRPr="001D7D6C" w14:paraId="785F77A4" w14:textId="3013BF12" w:rsidTr="00E80B6C">
        <w:trPr>
          <w:trHeight w:val="57"/>
        </w:trPr>
        <w:tc>
          <w:tcPr>
            <w:tcW w:w="819" w:type="dxa"/>
            <w:tcBorders>
              <w:top w:val="single" w:sz="4" w:space="0" w:color="BED600"/>
            </w:tcBorders>
            <w:shd w:val="clear" w:color="auto" w:fill="FFF2CC" w:themeFill="accent4" w:themeFillTint="33"/>
            <w:vAlign w:val="center"/>
            <w:hideMark/>
          </w:tcPr>
          <w:p w14:paraId="34CDC864"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tcBorders>
              <w:top w:val="single" w:sz="4" w:space="0" w:color="BED600"/>
            </w:tcBorders>
            <w:shd w:val="clear" w:color="auto" w:fill="FFF2CC" w:themeFill="accent4" w:themeFillTint="33"/>
            <w:vAlign w:val="center"/>
            <w:hideMark/>
          </w:tcPr>
          <w:p w14:paraId="558D6A29"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Unpacked</w:t>
            </w:r>
          </w:p>
        </w:tc>
        <w:tc>
          <w:tcPr>
            <w:tcW w:w="1186" w:type="dxa"/>
            <w:tcBorders>
              <w:top w:val="single" w:sz="4" w:space="0" w:color="BED600"/>
            </w:tcBorders>
            <w:shd w:val="clear" w:color="auto" w:fill="FFF2CC" w:themeFill="accent4" w:themeFillTint="33"/>
            <w:vAlign w:val="center"/>
            <w:hideMark/>
          </w:tcPr>
          <w:p w14:paraId="2D2E8BD3"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Conventional</w:t>
            </w:r>
          </w:p>
        </w:tc>
        <w:tc>
          <w:tcPr>
            <w:tcW w:w="3350" w:type="dxa"/>
            <w:tcBorders>
              <w:top w:val="single" w:sz="4" w:space="0" w:color="BED600"/>
            </w:tcBorders>
            <w:shd w:val="clear" w:color="auto" w:fill="FFF2CC" w:themeFill="accent4" w:themeFillTint="33"/>
            <w:vAlign w:val="center"/>
            <w:hideMark/>
          </w:tcPr>
          <w:p w14:paraId="6DB6EAD3"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Central America, Mexico, and the Caribbean</w:t>
            </w:r>
          </w:p>
        </w:tc>
        <w:tc>
          <w:tcPr>
            <w:tcW w:w="586" w:type="dxa"/>
            <w:tcBorders>
              <w:top w:val="single" w:sz="4" w:space="0" w:color="BED600"/>
            </w:tcBorders>
            <w:shd w:val="clear" w:color="auto" w:fill="FFF2CC" w:themeFill="accent4" w:themeFillTint="33"/>
            <w:vAlign w:val="center"/>
            <w:hideMark/>
          </w:tcPr>
          <w:p w14:paraId="5FBAFD5B"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EXW</w:t>
            </w:r>
          </w:p>
        </w:tc>
        <w:tc>
          <w:tcPr>
            <w:tcW w:w="1115" w:type="dxa"/>
            <w:tcBorders>
              <w:top w:val="single" w:sz="4" w:space="0" w:color="BED600"/>
            </w:tcBorders>
            <w:shd w:val="clear" w:color="auto" w:fill="FFF2CC" w:themeFill="accent4" w:themeFillTint="33"/>
            <w:vAlign w:val="center"/>
            <w:hideMark/>
          </w:tcPr>
          <w:p w14:paraId="5D204B18"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0.42</w:t>
            </w:r>
          </w:p>
        </w:tc>
        <w:bookmarkStart w:id="14" w:name="_GoBack"/>
        <w:tc>
          <w:tcPr>
            <w:tcW w:w="992" w:type="dxa"/>
            <w:tcBorders>
              <w:top w:val="single" w:sz="4" w:space="0" w:color="BED600"/>
            </w:tcBorders>
            <w:shd w:val="clear" w:color="auto" w:fill="FFFFFF" w:themeFill="background1"/>
            <w:vAlign w:val="center"/>
          </w:tcPr>
          <w:p w14:paraId="3AEDC1AB" w14:textId="075494FE"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bookmarkEnd w:id="14"/>
          </w:p>
        </w:tc>
        <w:tc>
          <w:tcPr>
            <w:tcW w:w="1362" w:type="dxa"/>
            <w:tcBorders>
              <w:top w:val="single" w:sz="4" w:space="0" w:color="BED600"/>
            </w:tcBorders>
            <w:shd w:val="clear" w:color="auto" w:fill="FFFFFF" w:themeFill="background1"/>
            <w:vAlign w:val="center"/>
          </w:tcPr>
          <w:p w14:paraId="4E2B90D1" w14:textId="4093C2ED"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tcBorders>
              <w:top w:val="single" w:sz="4" w:space="0" w:color="BED600"/>
            </w:tcBorders>
            <w:shd w:val="clear" w:color="auto" w:fill="FFFFFF" w:themeFill="background1"/>
            <w:vAlign w:val="center"/>
          </w:tcPr>
          <w:p w14:paraId="0095EA70" w14:textId="47FE7CA8" w:rsidR="00542D45" w:rsidRPr="00FE45CA" w:rsidRDefault="00542D45" w:rsidP="00542D45">
            <w:pPr>
              <w:spacing w:before="0" w:after="0" w:line="240" w:lineRule="auto"/>
              <w:jc w:val="center"/>
              <w:rPr>
                <w:sz w:val="18"/>
                <w:szCs w:val="18"/>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39EF4025" w14:textId="124F7673" w:rsidTr="00E80B6C">
        <w:trPr>
          <w:trHeight w:val="57"/>
        </w:trPr>
        <w:tc>
          <w:tcPr>
            <w:tcW w:w="819" w:type="dxa"/>
            <w:shd w:val="clear" w:color="auto" w:fill="auto"/>
            <w:vAlign w:val="center"/>
          </w:tcPr>
          <w:p w14:paraId="017DC6FE"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auto"/>
            <w:vAlign w:val="center"/>
          </w:tcPr>
          <w:p w14:paraId="5147ADDA"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Unpacked</w:t>
            </w:r>
          </w:p>
        </w:tc>
        <w:tc>
          <w:tcPr>
            <w:tcW w:w="1186" w:type="dxa"/>
            <w:shd w:val="clear" w:color="auto" w:fill="auto"/>
            <w:vAlign w:val="center"/>
          </w:tcPr>
          <w:p w14:paraId="45E56B26"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Theme="minorHAnsi" w:hAnsiTheme="minorHAnsi" w:cstheme="minorHAnsi"/>
                <w:sz w:val="16"/>
                <w:szCs w:val="16"/>
              </w:rPr>
              <w:t>Organic</w:t>
            </w:r>
          </w:p>
        </w:tc>
        <w:tc>
          <w:tcPr>
            <w:tcW w:w="3350" w:type="dxa"/>
            <w:shd w:val="clear" w:color="auto" w:fill="auto"/>
            <w:vAlign w:val="center"/>
          </w:tcPr>
          <w:p w14:paraId="0D4C65C7"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Central America, Mexico, and the Caribbean</w:t>
            </w:r>
          </w:p>
        </w:tc>
        <w:tc>
          <w:tcPr>
            <w:tcW w:w="586" w:type="dxa"/>
            <w:shd w:val="clear" w:color="auto" w:fill="auto"/>
            <w:vAlign w:val="center"/>
          </w:tcPr>
          <w:p w14:paraId="7BCA3687"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Theme="minorHAnsi" w:hAnsiTheme="minorHAnsi" w:cstheme="minorHAnsi"/>
                <w:sz w:val="16"/>
                <w:szCs w:val="16"/>
              </w:rPr>
              <w:t>EXW</w:t>
            </w:r>
          </w:p>
        </w:tc>
        <w:tc>
          <w:tcPr>
            <w:tcW w:w="1115" w:type="dxa"/>
            <w:shd w:val="clear" w:color="auto" w:fill="auto"/>
            <w:vAlign w:val="center"/>
          </w:tcPr>
          <w:p w14:paraId="2AE9137F"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Theme="minorHAnsi" w:hAnsiTheme="minorHAnsi" w:cstheme="minorHAnsi"/>
                <w:sz w:val="16"/>
                <w:szCs w:val="16"/>
              </w:rPr>
              <w:t>0.56</w:t>
            </w:r>
          </w:p>
        </w:tc>
        <w:tc>
          <w:tcPr>
            <w:tcW w:w="992" w:type="dxa"/>
            <w:shd w:val="clear" w:color="auto" w:fill="FFFFFF" w:themeFill="background1"/>
            <w:vAlign w:val="center"/>
          </w:tcPr>
          <w:p w14:paraId="4A9DBEB6" w14:textId="40930DEC"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20AA2236" w14:textId="6489F046"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0D7FD041" w14:textId="0B15317A"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4402A643" w14:textId="7B650E9C" w:rsidTr="00E80B6C">
        <w:trPr>
          <w:trHeight w:val="57"/>
        </w:trPr>
        <w:tc>
          <w:tcPr>
            <w:tcW w:w="819" w:type="dxa"/>
            <w:shd w:val="clear" w:color="auto" w:fill="FFF2CC" w:themeFill="accent4" w:themeFillTint="33"/>
            <w:vAlign w:val="center"/>
          </w:tcPr>
          <w:p w14:paraId="2A7C8CB5"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FFF2CC" w:themeFill="accent4" w:themeFillTint="33"/>
            <w:vAlign w:val="center"/>
          </w:tcPr>
          <w:p w14:paraId="072EB740"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Packed</w:t>
            </w:r>
          </w:p>
        </w:tc>
        <w:tc>
          <w:tcPr>
            <w:tcW w:w="1186" w:type="dxa"/>
            <w:shd w:val="clear" w:color="auto" w:fill="FFF2CC" w:themeFill="accent4" w:themeFillTint="33"/>
            <w:vAlign w:val="center"/>
          </w:tcPr>
          <w:p w14:paraId="2638CE45"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Calibri" w:hAnsi="Calibri" w:cs="Calibri"/>
                <w:sz w:val="16"/>
                <w:szCs w:val="16"/>
                <w:lang w:val="en-US" w:eastAsia="en-US"/>
              </w:rPr>
              <w:t>Conventional</w:t>
            </w:r>
          </w:p>
        </w:tc>
        <w:tc>
          <w:tcPr>
            <w:tcW w:w="3350" w:type="dxa"/>
            <w:shd w:val="clear" w:color="auto" w:fill="FFF2CC" w:themeFill="accent4" w:themeFillTint="33"/>
            <w:vAlign w:val="center"/>
          </w:tcPr>
          <w:p w14:paraId="6C4DF37F"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Central America, Mexico, and the Caribbean</w:t>
            </w:r>
          </w:p>
        </w:tc>
        <w:tc>
          <w:tcPr>
            <w:tcW w:w="586" w:type="dxa"/>
            <w:shd w:val="clear" w:color="auto" w:fill="FFF2CC" w:themeFill="accent4" w:themeFillTint="33"/>
            <w:vAlign w:val="center"/>
          </w:tcPr>
          <w:p w14:paraId="180C1F6D"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Calibri" w:hAnsi="Calibri" w:cs="Calibri"/>
                <w:sz w:val="16"/>
                <w:szCs w:val="16"/>
                <w:lang w:val="en-US" w:eastAsia="en-US"/>
              </w:rPr>
              <w:t>FOB</w:t>
            </w:r>
          </w:p>
        </w:tc>
        <w:tc>
          <w:tcPr>
            <w:tcW w:w="1115" w:type="dxa"/>
            <w:shd w:val="clear" w:color="auto" w:fill="FFF2CC" w:themeFill="accent4" w:themeFillTint="33"/>
            <w:vAlign w:val="center"/>
          </w:tcPr>
          <w:p w14:paraId="3B5BCF6D"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Calibri" w:hAnsi="Calibri" w:cs="Calibri"/>
                <w:sz w:val="16"/>
                <w:szCs w:val="16"/>
                <w:lang w:val="en-US" w:eastAsia="en-US"/>
              </w:rPr>
              <w:t>0.76</w:t>
            </w:r>
          </w:p>
        </w:tc>
        <w:tc>
          <w:tcPr>
            <w:tcW w:w="992" w:type="dxa"/>
            <w:shd w:val="clear" w:color="auto" w:fill="FFFFFF" w:themeFill="background1"/>
            <w:vAlign w:val="center"/>
          </w:tcPr>
          <w:p w14:paraId="4C315938" w14:textId="40524FBB" w:rsidR="00542D45" w:rsidRPr="001D7D6C" w:rsidRDefault="00542D45" w:rsidP="00542D45">
            <w:pPr>
              <w:spacing w:before="0" w:after="0" w:line="240" w:lineRule="auto"/>
              <w:jc w:val="center"/>
              <w:rPr>
                <w:rFonts w:asciiTheme="minorHAnsi" w:hAnsiTheme="minorHAnsi" w:cstheme="minorHAnsi"/>
                <w:sz w:val="16"/>
                <w:szCs w:val="16"/>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1C38A445" w14:textId="30C985A9" w:rsidR="00542D45" w:rsidRPr="001D7D6C" w:rsidRDefault="00542D45" w:rsidP="00542D45">
            <w:pPr>
              <w:spacing w:before="0" w:after="0" w:line="240" w:lineRule="auto"/>
              <w:jc w:val="center"/>
              <w:rPr>
                <w:rFonts w:asciiTheme="minorHAnsi" w:hAnsiTheme="minorHAnsi" w:cstheme="minorHAnsi"/>
                <w:sz w:val="16"/>
                <w:szCs w:val="16"/>
                <w:highlight w:val="yellow"/>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6EEE79AE" w14:textId="78A13335" w:rsidR="00542D45" w:rsidRPr="001D7D6C" w:rsidRDefault="00542D45" w:rsidP="00542D45">
            <w:pPr>
              <w:spacing w:before="0" w:after="0" w:line="240" w:lineRule="auto"/>
              <w:jc w:val="center"/>
              <w:rPr>
                <w:rFonts w:asciiTheme="minorHAnsi" w:hAnsiTheme="minorHAnsi" w:cstheme="minorHAnsi"/>
                <w:sz w:val="16"/>
                <w:szCs w:val="16"/>
                <w:highlight w:val="yellow"/>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2689F08C" w14:textId="4DBF0C4F" w:rsidTr="00E80B6C">
        <w:trPr>
          <w:trHeight w:val="57"/>
        </w:trPr>
        <w:tc>
          <w:tcPr>
            <w:tcW w:w="819" w:type="dxa"/>
            <w:shd w:val="clear" w:color="auto" w:fill="auto"/>
            <w:vAlign w:val="center"/>
          </w:tcPr>
          <w:p w14:paraId="34B11ED9"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auto"/>
            <w:vAlign w:val="center"/>
          </w:tcPr>
          <w:p w14:paraId="09F941C1"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Packed</w:t>
            </w:r>
          </w:p>
        </w:tc>
        <w:tc>
          <w:tcPr>
            <w:tcW w:w="1186" w:type="dxa"/>
            <w:shd w:val="clear" w:color="auto" w:fill="auto"/>
            <w:vAlign w:val="center"/>
          </w:tcPr>
          <w:p w14:paraId="3A5C3133"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Theme="minorHAnsi" w:hAnsiTheme="minorHAnsi" w:cstheme="minorHAnsi"/>
                <w:sz w:val="16"/>
                <w:szCs w:val="16"/>
              </w:rPr>
              <w:t>Organic</w:t>
            </w:r>
          </w:p>
        </w:tc>
        <w:tc>
          <w:tcPr>
            <w:tcW w:w="3350" w:type="dxa"/>
            <w:shd w:val="clear" w:color="auto" w:fill="auto"/>
            <w:vAlign w:val="center"/>
          </w:tcPr>
          <w:p w14:paraId="7DD8522E"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Central America, Mexico, and the Caribbean</w:t>
            </w:r>
          </w:p>
        </w:tc>
        <w:tc>
          <w:tcPr>
            <w:tcW w:w="586" w:type="dxa"/>
            <w:shd w:val="clear" w:color="auto" w:fill="auto"/>
            <w:vAlign w:val="center"/>
          </w:tcPr>
          <w:p w14:paraId="1875C3CE"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Theme="minorHAnsi" w:hAnsiTheme="minorHAnsi" w:cstheme="minorHAnsi"/>
                <w:sz w:val="16"/>
                <w:szCs w:val="16"/>
              </w:rPr>
              <w:t>FOB</w:t>
            </w:r>
          </w:p>
        </w:tc>
        <w:tc>
          <w:tcPr>
            <w:tcW w:w="1115" w:type="dxa"/>
            <w:shd w:val="clear" w:color="auto" w:fill="auto"/>
            <w:vAlign w:val="center"/>
          </w:tcPr>
          <w:p w14:paraId="187280C8"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Theme="minorHAnsi" w:hAnsiTheme="minorHAnsi" w:cstheme="minorHAnsi"/>
                <w:sz w:val="16"/>
                <w:szCs w:val="16"/>
              </w:rPr>
              <w:t>0.90</w:t>
            </w:r>
          </w:p>
        </w:tc>
        <w:tc>
          <w:tcPr>
            <w:tcW w:w="992" w:type="dxa"/>
            <w:shd w:val="clear" w:color="auto" w:fill="FFFFFF" w:themeFill="background1"/>
            <w:vAlign w:val="center"/>
          </w:tcPr>
          <w:p w14:paraId="7BC3459B" w14:textId="730C9577" w:rsidR="00542D45" w:rsidRPr="001D7D6C" w:rsidRDefault="00542D45" w:rsidP="00542D45">
            <w:pPr>
              <w:spacing w:before="0" w:after="0" w:line="240" w:lineRule="auto"/>
              <w:jc w:val="center"/>
              <w:rPr>
                <w:rFonts w:asciiTheme="minorHAnsi" w:hAnsiTheme="minorHAnsi" w:cstheme="minorHAnsi"/>
                <w:sz w:val="16"/>
                <w:szCs w:val="16"/>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0D523A0E" w14:textId="44CEF5FC" w:rsidR="00542D45" w:rsidRPr="001D7D6C" w:rsidRDefault="00542D45" w:rsidP="00542D45">
            <w:pPr>
              <w:spacing w:before="0" w:after="0" w:line="240" w:lineRule="auto"/>
              <w:jc w:val="center"/>
              <w:rPr>
                <w:rFonts w:asciiTheme="minorHAnsi" w:hAnsiTheme="minorHAnsi" w:cstheme="minorHAnsi"/>
                <w:sz w:val="16"/>
                <w:szCs w:val="16"/>
                <w:highlight w:val="yellow"/>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35481588" w14:textId="514B0E2F" w:rsidR="00542D45" w:rsidRPr="001D7D6C" w:rsidRDefault="00542D45" w:rsidP="00542D45">
            <w:pPr>
              <w:spacing w:before="0" w:after="0" w:line="240" w:lineRule="auto"/>
              <w:jc w:val="center"/>
              <w:rPr>
                <w:rFonts w:asciiTheme="minorHAnsi" w:hAnsiTheme="minorHAnsi" w:cstheme="minorHAnsi"/>
                <w:sz w:val="16"/>
                <w:szCs w:val="16"/>
                <w:highlight w:val="yellow"/>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5818113D" w14:textId="296ECC4A" w:rsidTr="00E80B6C">
        <w:trPr>
          <w:trHeight w:val="57"/>
        </w:trPr>
        <w:tc>
          <w:tcPr>
            <w:tcW w:w="819" w:type="dxa"/>
            <w:shd w:val="clear" w:color="auto" w:fill="FFF2CC" w:themeFill="accent4" w:themeFillTint="33"/>
            <w:vAlign w:val="center"/>
          </w:tcPr>
          <w:p w14:paraId="14DDECF3"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FFF2CC" w:themeFill="accent4" w:themeFillTint="33"/>
            <w:vAlign w:val="center"/>
          </w:tcPr>
          <w:p w14:paraId="20D7E1B3"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Unpacked</w:t>
            </w:r>
          </w:p>
        </w:tc>
        <w:tc>
          <w:tcPr>
            <w:tcW w:w="1186" w:type="dxa"/>
            <w:shd w:val="clear" w:color="auto" w:fill="FFF2CC" w:themeFill="accent4" w:themeFillTint="33"/>
            <w:vAlign w:val="center"/>
          </w:tcPr>
          <w:p w14:paraId="14FA4514"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Calibri" w:hAnsi="Calibri" w:cs="Calibri"/>
                <w:sz w:val="16"/>
                <w:szCs w:val="16"/>
                <w:lang w:val="en-US" w:eastAsia="en-US"/>
              </w:rPr>
              <w:t>Conventional</w:t>
            </w:r>
          </w:p>
        </w:tc>
        <w:tc>
          <w:tcPr>
            <w:tcW w:w="3350" w:type="dxa"/>
            <w:shd w:val="clear" w:color="auto" w:fill="FFF2CC" w:themeFill="accent4" w:themeFillTint="33"/>
            <w:vAlign w:val="center"/>
          </w:tcPr>
          <w:p w14:paraId="6038DAD1"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South America</w:t>
            </w:r>
          </w:p>
        </w:tc>
        <w:tc>
          <w:tcPr>
            <w:tcW w:w="586" w:type="dxa"/>
            <w:shd w:val="clear" w:color="auto" w:fill="FFF2CC" w:themeFill="accent4" w:themeFillTint="33"/>
            <w:vAlign w:val="center"/>
          </w:tcPr>
          <w:p w14:paraId="3862E961"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Calibri" w:hAnsi="Calibri" w:cs="Calibri"/>
                <w:sz w:val="16"/>
                <w:szCs w:val="16"/>
                <w:lang w:val="en-US" w:eastAsia="en-US"/>
              </w:rPr>
              <w:t>EXW</w:t>
            </w:r>
          </w:p>
        </w:tc>
        <w:tc>
          <w:tcPr>
            <w:tcW w:w="1115" w:type="dxa"/>
            <w:shd w:val="clear" w:color="auto" w:fill="FFF2CC" w:themeFill="accent4" w:themeFillTint="33"/>
            <w:vAlign w:val="center"/>
          </w:tcPr>
          <w:p w14:paraId="25B0BADB"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0.55</w:t>
            </w:r>
          </w:p>
        </w:tc>
        <w:tc>
          <w:tcPr>
            <w:tcW w:w="992" w:type="dxa"/>
            <w:shd w:val="clear" w:color="auto" w:fill="FFFFFF" w:themeFill="background1"/>
            <w:vAlign w:val="center"/>
          </w:tcPr>
          <w:p w14:paraId="07FD1A43" w14:textId="1A71618E"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13E52062" w14:textId="0AB84C72"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1A9FEA1C" w14:textId="16AABBFB"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2E78CA35" w14:textId="03E4E2A2" w:rsidTr="00E80B6C">
        <w:trPr>
          <w:trHeight w:val="57"/>
        </w:trPr>
        <w:tc>
          <w:tcPr>
            <w:tcW w:w="819" w:type="dxa"/>
            <w:shd w:val="clear" w:color="auto" w:fill="auto"/>
            <w:vAlign w:val="center"/>
          </w:tcPr>
          <w:p w14:paraId="2E5A2F7F"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auto"/>
            <w:vAlign w:val="center"/>
          </w:tcPr>
          <w:p w14:paraId="54DCE8E9"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Unpacked</w:t>
            </w:r>
          </w:p>
        </w:tc>
        <w:tc>
          <w:tcPr>
            <w:tcW w:w="1186" w:type="dxa"/>
            <w:shd w:val="clear" w:color="auto" w:fill="auto"/>
            <w:vAlign w:val="center"/>
          </w:tcPr>
          <w:p w14:paraId="39E02150"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Theme="minorHAnsi" w:hAnsiTheme="minorHAnsi" w:cstheme="minorHAnsi"/>
                <w:sz w:val="16"/>
                <w:szCs w:val="16"/>
              </w:rPr>
              <w:t>Organic</w:t>
            </w:r>
          </w:p>
        </w:tc>
        <w:tc>
          <w:tcPr>
            <w:tcW w:w="3350" w:type="dxa"/>
            <w:shd w:val="clear" w:color="auto" w:fill="auto"/>
            <w:vAlign w:val="center"/>
          </w:tcPr>
          <w:p w14:paraId="666ADEC4"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South America</w:t>
            </w:r>
          </w:p>
        </w:tc>
        <w:tc>
          <w:tcPr>
            <w:tcW w:w="586" w:type="dxa"/>
            <w:shd w:val="clear" w:color="auto" w:fill="auto"/>
            <w:vAlign w:val="center"/>
          </w:tcPr>
          <w:p w14:paraId="30617264"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Theme="minorHAnsi" w:hAnsiTheme="minorHAnsi" w:cstheme="minorHAnsi"/>
                <w:sz w:val="16"/>
                <w:szCs w:val="16"/>
              </w:rPr>
              <w:t>EXW</w:t>
            </w:r>
          </w:p>
        </w:tc>
        <w:tc>
          <w:tcPr>
            <w:tcW w:w="1115" w:type="dxa"/>
            <w:shd w:val="clear" w:color="auto" w:fill="auto"/>
            <w:vAlign w:val="center"/>
          </w:tcPr>
          <w:p w14:paraId="12473BCC"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0.70</w:t>
            </w:r>
          </w:p>
        </w:tc>
        <w:tc>
          <w:tcPr>
            <w:tcW w:w="992" w:type="dxa"/>
            <w:shd w:val="clear" w:color="auto" w:fill="FFFFFF" w:themeFill="background1"/>
            <w:vAlign w:val="center"/>
          </w:tcPr>
          <w:p w14:paraId="51CDAB4B" w14:textId="109CE3B3"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5A314033" w14:textId="6DD80B10"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7ED705A3" w14:textId="541DC8E6"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5F1015DB" w14:textId="1A00458A" w:rsidTr="00E80B6C">
        <w:trPr>
          <w:trHeight w:val="57"/>
        </w:trPr>
        <w:tc>
          <w:tcPr>
            <w:tcW w:w="819" w:type="dxa"/>
            <w:shd w:val="clear" w:color="auto" w:fill="FFF2CC" w:themeFill="accent4" w:themeFillTint="33"/>
            <w:vAlign w:val="center"/>
          </w:tcPr>
          <w:p w14:paraId="6AF21962"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FFF2CC" w:themeFill="accent4" w:themeFillTint="33"/>
            <w:vAlign w:val="center"/>
          </w:tcPr>
          <w:p w14:paraId="64C4C567"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Packed</w:t>
            </w:r>
          </w:p>
        </w:tc>
        <w:tc>
          <w:tcPr>
            <w:tcW w:w="1186" w:type="dxa"/>
            <w:shd w:val="clear" w:color="auto" w:fill="FFF2CC" w:themeFill="accent4" w:themeFillTint="33"/>
            <w:vAlign w:val="center"/>
          </w:tcPr>
          <w:p w14:paraId="6BD5E38C"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Calibri" w:hAnsi="Calibri" w:cs="Calibri"/>
                <w:sz w:val="16"/>
                <w:szCs w:val="16"/>
                <w:lang w:val="en-US" w:eastAsia="en-US"/>
              </w:rPr>
              <w:t>Conventional</w:t>
            </w:r>
          </w:p>
        </w:tc>
        <w:tc>
          <w:tcPr>
            <w:tcW w:w="3350" w:type="dxa"/>
            <w:shd w:val="clear" w:color="auto" w:fill="FFF2CC" w:themeFill="accent4" w:themeFillTint="33"/>
            <w:vAlign w:val="center"/>
          </w:tcPr>
          <w:p w14:paraId="0787579E"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South America</w:t>
            </w:r>
          </w:p>
        </w:tc>
        <w:tc>
          <w:tcPr>
            <w:tcW w:w="586" w:type="dxa"/>
            <w:shd w:val="clear" w:color="auto" w:fill="FFF2CC" w:themeFill="accent4" w:themeFillTint="33"/>
            <w:vAlign w:val="center"/>
          </w:tcPr>
          <w:p w14:paraId="1940A7C7"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Calibri" w:hAnsi="Calibri" w:cs="Calibri"/>
                <w:sz w:val="16"/>
                <w:szCs w:val="16"/>
                <w:lang w:val="en-US" w:eastAsia="en-US"/>
              </w:rPr>
              <w:t>FOB</w:t>
            </w:r>
          </w:p>
        </w:tc>
        <w:tc>
          <w:tcPr>
            <w:tcW w:w="1115" w:type="dxa"/>
            <w:shd w:val="clear" w:color="auto" w:fill="FFF2CC" w:themeFill="accent4" w:themeFillTint="33"/>
            <w:vAlign w:val="center"/>
          </w:tcPr>
          <w:p w14:paraId="71A244A6"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0.79</w:t>
            </w:r>
          </w:p>
        </w:tc>
        <w:tc>
          <w:tcPr>
            <w:tcW w:w="992" w:type="dxa"/>
            <w:shd w:val="clear" w:color="auto" w:fill="FFFFFF" w:themeFill="background1"/>
            <w:vAlign w:val="center"/>
          </w:tcPr>
          <w:p w14:paraId="79308E5C" w14:textId="2A9AB272"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56D25B94" w14:textId="0BBC8BB2"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17787469" w14:textId="41EF02C5"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5C4F956D" w14:textId="0316993E" w:rsidTr="00E80B6C">
        <w:trPr>
          <w:trHeight w:val="57"/>
        </w:trPr>
        <w:tc>
          <w:tcPr>
            <w:tcW w:w="819" w:type="dxa"/>
            <w:shd w:val="clear" w:color="auto" w:fill="auto"/>
            <w:vAlign w:val="center"/>
          </w:tcPr>
          <w:p w14:paraId="07234B47"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auto"/>
            <w:vAlign w:val="center"/>
          </w:tcPr>
          <w:p w14:paraId="700B98AA"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Packed</w:t>
            </w:r>
          </w:p>
        </w:tc>
        <w:tc>
          <w:tcPr>
            <w:tcW w:w="1186" w:type="dxa"/>
            <w:shd w:val="clear" w:color="auto" w:fill="auto"/>
            <w:vAlign w:val="center"/>
          </w:tcPr>
          <w:p w14:paraId="07ECA29B"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Theme="minorHAnsi" w:hAnsiTheme="minorHAnsi" w:cstheme="minorHAnsi"/>
                <w:sz w:val="16"/>
                <w:szCs w:val="16"/>
              </w:rPr>
              <w:t>Organic</w:t>
            </w:r>
          </w:p>
        </w:tc>
        <w:tc>
          <w:tcPr>
            <w:tcW w:w="3350" w:type="dxa"/>
            <w:shd w:val="clear" w:color="auto" w:fill="auto"/>
            <w:vAlign w:val="center"/>
          </w:tcPr>
          <w:p w14:paraId="1C26B6B4"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South America</w:t>
            </w:r>
          </w:p>
        </w:tc>
        <w:tc>
          <w:tcPr>
            <w:tcW w:w="586" w:type="dxa"/>
            <w:shd w:val="clear" w:color="auto" w:fill="auto"/>
            <w:vAlign w:val="center"/>
          </w:tcPr>
          <w:p w14:paraId="57077F9E"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Theme="minorHAnsi" w:hAnsiTheme="minorHAnsi" w:cstheme="minorHAnsi"/>
                <w:sz w:val="16"/>
                <w:szCs w:val="16"/>
              </w:rPr>
              <w:t>FOB</w:t>
            </w:r>
          </w:p>
        </w:tc>
        <w:tc>
          <w:tcPr>
            <w:tcW w:w="1115" w:type="dxa"/>
            <w:shd w:val="clear" w:color="auto" w:fill="auto"/>
            <w:vAlign w:val="center"/>
          </w:tcPr>
          <w:p w14:paraId="04BF78AB"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0.94</w:t>
            </w:r>
          </w:p>
        </w:tc>
        <w:tc>
          <w:tcPr>
            <w:tcW w:w="992" w:type="dxa"/>
            <w:shd w:val="clear" w:color="auto" w:fill="FFFFFF" w:themeFill="background1"/>
            <w:vAlign w:val="center"/>
          </w:tcPr>
          <w:p w14:paraId="4084EF6B" w14:textId="6EC3FFB2"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46E1B7A8" w14:textId="70354D2B"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1501A2BD" w14:textId="77EBFCE9"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4E777930" w14:textId="7ACCDD83" w:rsidTr="00E80B6C">
        <w:trPr>
          <w:trHeight w:val="57"/>
        </w:trPr>
        <w:tc>
          <w:tcPr>
            <w:tcW w:w="819" w:type="dxa"/>
            <w:shd w:val="clear" w:color="auto" w:fill="FFF2CC" w:themeFill="accent4" w:themeFillTint="33"/>
            <w:vAlign w:val="center"/>
          </w:tcPr>
          <w:p w14:paraId="742457ED"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FFF2CC" w:themeFill="accent4" w:themeFillTint="33"/>
            <w:vAlign w:val="center"/>
          </w:tcPr>
          <w:p w14:paraId="314E1D6E"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Unpacked</w:t>
            </w:r>
          </w:p>
        </w:tc>
        <w:tc>
          <w:tcPr>
            <w:tcW w:w="1186" w:type="dxa"/>
            <w:shd w:val="clear" w:color="auto" w:fill="FFF2CC" w:themeFill="accent4" w:themeFillTint="33"/>
            <w:vAlign w:val="center"/>
          </w:tcPr>
          <w:p w14:paraId="1CCBC208"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Calibri" w:hAnsi="Calibri" w:cs="Calibri"/>
                <w:sz w:val="16"/>
                <w:szCs w:val="16"/>
                <w:lang w:val="en-US" w:eastAsia="en-US"/>
              </w:rPr>
              <w:t>Conventional</w:t>
            </w:r>
          </w:p>
        </w:tc>
        <w:tc>
          <w:tcPr>
            <w:tcW w:w="3350" w:type="dxa"/>
            <w:shd w:val="clear" w:color="auto" w:fill="FFF2CC" w:themeFill="accent4" w:themeFillTint="33"/>
            <w:vAlign w:val="center"/>
          </w:tcPr>
          <w:p w14:paraId="4FDF61CE"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Southern Asia</w:t>
            </w:r>
          </w:p>
        </w:tc>
        <w:tc>
          <w:tcPr>
            <w:tcW w:w="586" w:type="dxa"/>
            <w:shd w:val="clear" w:color="auto" w:fill="FFF2CC" w:themeFill="accent4" w:themeFillTint="33"/>
            <w:vAlign w:val="center"/>
          </w:tcPr>
          <w:p w14:paraId="78B76FBD"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Calibri" w:hAnsi="Calibri" w:cs="Calibri"/>
                <w:sz w:val="16"/>
                <w:szCs w:val="16"/>
                <w:lang w:val="en-US" w:eastAsia="en-US"/>
              </w:rPr>
              <w:t>EXW</w:t>
            </w:r>
          </w:p>
        </w:tc>
        <w:tc>
          <w:tcPr>
            <w:tcW w:w="1115" w:type="dxa"/>
            <w:shd w:val="clear" w:color="auto" w:fill="FFF2CC" w:themeFill="accent4" w:themeFillTint="33"/>
            <w:vAlign w:val="center"/>
          </w:tcPr>
          <w:p w14:paraId="20A968CB"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0.41</w:t>
            </w:r>
          </w:p>
        </w:tc>
        <w:tc>
          <w:tcPr>
            <w:tcW w:w="992" w:type="dxa"/>
            <w:shd w:val="clear" w:color="auto" w:fill="FFFFFF" w:themeFill="background1"/>
            <w:vAlign w:val="center"/>
          </w:tcPr>
          <w:p w14:paraId="1E25FED4" w14:textId="36652410"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32ADBEA4" w14:textId="61253D65"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205AEBEB" w14:textId="7D5E57E2" w:rsidR="00542D45" w:rsidRPr="001D7D6C" w:rsidRDefault="00542D45" w:rsidP="00542D45">
            <w:pPr>
              <w:spacing w:before="0" w:after="0" w:line="240" w:lineRule="auto"/>
              <w:jc w:val="center"/>
              <w:rPr>
                <w:rFonts w:ascii="Calibri" w:hAnsi="Calibri" w:cs="Calibri"/>
                <w:sz w:val="16"/>
                <w:szCs w:val="16"/>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0BD399A5" w14:textId="5B195DA0" w:rsidTr="00E80B6C">
        <w:trPr>
          <w:trHeight w:val="57"/>
        </w:trPr>
        <w:tc>
          <w:tcPr>
            <w:tcW w:w="819" w:type="dxa"/>
            <w:shd w:val="clear" w:color="auto" w:fill="auto"/>
            <w:vAlign w:val="center"/>
          </w:tcPr>
          <w:p w14:paraId="5870F795"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auto"/>
            <w:vAlign w:val="center"/>
          </w:tcPr>
          <w:p w14:paraId="00D70479"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Unpacked</w:t>
            </w:r>
          </w:p>
        </w:tc>
        <w:tc>
          <w:tcPr>
            <w:tcW w:w="1186" w:type="dxa"/>
            <w:shd w:val="clear" w:color="auto" w:fill="auto"/>
            <w:vAlign w:val="center"/>
          </w:tcPr>
          <w:p w14:paraId="53D3344D"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Theme="minorHAnsi" w:hAnsiTheme="minorHAnsi" w:cstheme="minorHAnsi"/>
                <w:sz w:val="16"/>
                <w:szCs w:val="16"/>
              </w:rPr>
              <w:t>Organic</w:t>
            </w:r>
          </w:p>
        </w:tc>
        <w:tc>
          <w:tcPr>
            <w:tcW w:w="3350" w:type="dxa"/>
            <w:shd w:val="clear" w:color="auto" w:fill="auto"/>
            <w:vAlign w:val="center"/>
          </w:tcPr>
          <w:p w14:paraId="688A5D77"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Southern Asia</w:t>
            </w:r>
          </w:p>
        </w:tc>
        <w:tc>
          <w:tcPr>
            <w:tcW w:w="586" w:type="dxa"/>
            <w:shd w:val="clear" w:color="auto" w:fill="auto"/>
            <w:vAlign w:val="center"/>
          </w:tcPr>
          <w:p w14:paraId="24D0D5CE"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Theme="minorHAnsi" w:hAnsiTheme="minorHAnsi" w:cstheme="minorHAnsi"/>
                <w:sz w:val="16"/>
                <w:szCs w:val="16"/>
              </w:rPr>
              <w:t>EXW</w:t>
            </w:r>
          </w:p>
        </w:tc>
        <w:tc>
          <w:tcPr>
            <w:tcW w:w="1115" w:type="dxa"/>
            <w:shd w:val="clear" w:color="auto" w:fill="auto"/>
            <w:vAlign w:val="center"/>
          </w:tcPr>
          <w:p w14:paraId="724CB02C"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0.55</w:t>
            </w:r>
          </w:p>
        </w:tc>
        <w:tc>
          <w:tcPr>
            <w:tcW w:w="992" w:type="dxa"/>
            <w:shd w:val="clear" w:color="auto" w:fill="FFFFFF" w:themeFill="background1"/>
            <w:vAlign w:val="center"/>
          </w:tcPr>
          <w:p w14:paraId="030F7010" w14:textId="67CDAC77"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024AD4D5" w14:textId="585E49A4"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7729B95C" w14:textId="6E9714B3" w:rsidR="00542D45" w:rsidRPr="001D7D6C" w:rsidRDefault="00542D45" w:rsidP="00542D45">
            <w:pPr>
              <w:spacing w:before="0" w:after="0" w:line="240" w:lineRule="auto"/>
              <w:jc w:val="center"/>
              <w:rPr>
                <w:rFonts w:ascii="Calibri" w:hAnsi="Calibri" w:cs="Calibri"/>
                <w:sz w:val="16"/>
                <w:szCs w:val="16"/>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34150681" w14:textId="16B8F064" w:rsidTr="00E80B6C">
        <w:trPr>
          <w:trHeight w:val="57"/>
        </w:trPr>
        <w:tc>
          <w:tcPr>
            <w:tcW w:w="819" w:type="dxa"/>
            <w:shd w:val="clear" w:color="auto" w:fill="FFF2CC" w:themeFill="accent4" w:themeFillTint="33"/>
            <w:vAlign w:val="center"/>
          </w:tcPr>
          <w:p w14:paraId="4FBA0423"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FFF2CC" w:themeFill="accent4" w:themeFillTint="33"/>
            <w:vAlign w:val="center"/>
          </w:tcPr>
          <w:p w14:paraId="2E3D8395"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Packed</w:t>
            </w:r>
          </w:p>
        </w:tc>
        <w:tc>
          <w:tcPr>
            <w:tcW w:w="1186" w:type="dxa"/>
            <w:shd w:val="clear" w:color="auto" w:fill="FFF2CC" w:themeFill="accent4" w:themeFillTint="33"/>
            <w:vAlign w:val="center"/>
          </w:tcPr>
          <w:p w14:paraId="08EDBCBB"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Calibri" w:hAnsi="Calibri" w:cs="Calibri"/>
                <w:sz w:val="16"/>
                <w:szCs w:val="16"/>
                <w:lang w:val="en-US" w:eastAsia="en-US"/>
              </w:rPr>
              <w:t>Conventional</w:t>
            </w:r>
          </w:p>
        </w:tc>
        <w:tc>
          <w:tcPr>
            <w:tcW w:w="3350" w:type="dxa"/>
            <w:shd w:val="clear" w:color="auto" w:fill="FFF2CC" w:themeFill="accent4" w:themeFillTint="33"/>
            <w:vAlign w:val="center"/>
          </w:tcPr>
          <w:p w14:paraId="236DFDFE"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Southern Asia</w:t>
            </w:r>
          </w:p>
        </w:tc>
        <w:tc>
          <w:tcPr>
            <w:tcW w:w="586" w:type="dxa"/>
            <w:shd w:val="clear" w:color="auto" w:fill="FFF2CC" w:themeFill="accent4" w:themeFillTint="33"/>
            <w:vAlign w:val="center"/>
          </w:tcPr>
          <w:p w14:paraId="52515E24"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Calibri" w:hAnsi="Calibri" w:cs="Calibri"/>
                <w:sz w:val="16"/>
                <w:szCs w:val="16"/>
                <w:lang w:val="en-US" w:eastAsia="en-US"/>
              </w:rPr>
              <w:t>FOB</w:t>
            </w:r>
          </w:p>
        </w:tc>
        <w:tc>
          <w:tcPr>
            <w:tcW w:w="1115" w:type="dxa"/>
            <w:shd w:val="clear" w:color="auto" w:fill="FFF2CC" w:themeFill="accent4" w:themeFillTint="33"/>
            <w:vAlign w:val="center"/>
          </w:tcPr>
          <w:p w14:paraId="7AC0AEE3"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0.55</w:t>
            </w:r>
          </w:p>
        </w:tc>
        <w:tc>
          <w:tcPr>
            <w:tcW w:w="992" w:type="dxa"/>
            <w:shd w:val="clear" w:color="auto" w:fill="FFFFFF" w:themeFill="background1"/>
            <w:vAlign w:val="center"/>
          </w:tcPr>
          <w:p w14:paraId="4D023379" w14:textId="7A376B65"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687D9048" w14:textId="3B1FF5AE"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4FEAEA71" w14:textId="284B51E9" w:rsidR="00542D45" w:rsidRPr="001D7D6C" w:rsidRDefault="00542D45" w:rsidP="00542D45">
            <w:pPr>
              <w:spacing w:before="0" w:after="0" w:line="240" w:lineRule="auto"/>
              <w:jc w:val="center"/>
              <w:rPr>
                <w:rFonts w:ascii="Calibri" w:hAnsi="Calibri" w:cs="Calibri"/>
                <w:sz w:val="16"/>
                <w:szCs w:val="16"/>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7EB21339" w14:textId="0230E126" w:rsidTr="00E80B6C">
        <w:trPr>
          <w:trHeight w:val="57"/>
        </w:trPr>
        <w:tc>
          <w:tcPr>
            <w:tcW w:w="819" w:type="dxa"/>
            <w:shd w:val="clear" w:color="auto" w:fill="auto"/>
            <w:vAlign w:val="center"/>
          </w:tcPr>
          <w:p w14:paraId="25A74F5E"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auto"/>
            <w:vAlign w:val="center"/>
          </w:tcPr>
          <w:p w14:paraId="1E9C8E16"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Packed</w:t>
            </w:r>
          </w:p>
        </w:tc>
        <w:tc>
          <w:tcPr>
            <w:tcW w:w="1186" w:type="dxa"/>
            <w:shd w:val="clear" w:color="auto" w:fill="auto"/>
            <w:vAlign w:val="center"/>
          </w:tcPr>
          <w:p w14:paraId="770399A9"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Theme="minorHAnsi" w:hAnsiTheme="minorHAnsi" w:cstheme="minorHAnsi"/>
                <w:sz w:val="16"/>
                <w:szCs w:val="16"/>
              </w:rPr>
              <w:t>Organic</w:t>
            </w:r>
          </w:p>
        </w:tc>
        <w:tc>
          <w:tcPr>
            <w:tcW w:w="3350" w:type="dxa"/>
            <w:shd w:val="clear" w:color="auto" w:fill="auto"/>
            <w:vAlign w:val="center"/>
          </w:tcPr>
          <w:p w14:paraId="602AE706"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Southern Asia</w:t>
            </w:r>
          </w:p>
        </w:tc>
        <w:tc>
          <w:tcPr>
            <w:tcW w:w="586" w:type="dxa"/>
            <w:shd w:val="clear" w:color="auto" w:fill="auto"/>
            <w:vAlign w:val="center"/>
          </w:tcPr>
          <w:p w14:paraId="00A4320B"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Theme="minorHAnsi" w:hAnsiTheme="minorHAnsi" w:cstheme="minorHAnsi"/>
                <w:sz w:val="16"/>
                <w:szCs w:val="16"/>
              </w:rPr>
              <w:t>FOB</w:t>
            </w:r>
          </w:p>
        </w:tc>
        <w:tc>
          <w:tcPr>
            <w:tcW w:w="1115" w:type="dxa"/>
            <w:shd w:val="clear" w:color="auto" w:fill="auto"/>
            <w:vAlign w:val="center"/>
          </w:tcPr>
          <w:p w14:paraId="19F8B845"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0.69</w:t>
            </w:r>
          </w:p>
        </w:tc>
        <w:tc>
          <w:tcPr>
            <w:tcW w:w="992" w:type="dxa"/>
            <w:shd w:val="clear" w:color="auto" w:fill="FFFFFF" w:themeFill="background1"/>
            <w:vAlign w:val="center"/>
          </w:tcPr>
          <w:p w14:paraId="75C1E3D0" w14:textId="0F61AE80"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2A4D9DF9" w14:textId="31701C06"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283A1818" w14:textId="3B5103F5" w:rsidR="00542D45" w:rsidRPr="001D7D6C" w:rsidRDefault="00542D45" w:rsidP="00542D45">
            <w:pPr>
              <w:spacing w:before="0" w:after="0" w:line="240" w:lineRule="auto"/>
              <w:jc w:val="center"/>
              <w:rPr>
                <w:rFonts w:ascii="Calibri" w:hAnsi="Calibri" w:cs="Calibri"/>
                <w:sz w:val="16"/>
                <w:szCs w:val="16"/>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5DF6C67E" w14:textId="57BB076B" w:rsidTr="00E80B6C">
        <w:trPr>
          <w:trHeight w:val="57"/>
        </w:trPr>
        <w:tc>
          <w:tcPr>
            <w:tcW w:w="819"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109873A3"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4398E67E"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Packed</w:t>
            </w:r>
          </w:p>
        </w:tc>
        <w:tc>
          <w:tcPr>
            <w:tcW w:w="1186"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5BCF450A"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Theme="minorHAnsi" w:hAnsiTheme="minorHAnsi" w:cstheme="minorHAnsi"/>
                <w:sz w:val="16"/>
                <w:szCs w:val="16"/>
              </w:rPr>
              <w:t>Conventional</w:t>
            </w:r>
          </w:p>
        </w:tc>
        <w:tc>
          <w:tcPr>
            <w:tcW w:w="3350"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39988599" w14:textId="64B1D837" w:rsidR="00542D45" w:rsidRPr="001D7D6C" w:rsidRDefault="00440352" w:rsidP="00542D45">
            <w:pPr>
              <w:spacing w:before="0" w:after="0" w:line="240" w:lineRule="auto"/>
              <w:jc w:val="left"/>
              <w:rPr>
                <w:rFonts w:ascii="Calibri" w:hAnsi="Calibri" w:cs="Calibri"/>
                <w:sz w:val="16"/>
                <w:szCs w:val="16"/>
                <w:lang w:val="en-US" w:eastAsia="en-US"/>
              </w:rPr>
            </w:pPr>
            <w:r w:rsidRPr="00440352">
              <w:rPr>
                <w:rFonts w:ascii="Calibri" w:hAnsi="Calibri" w:cs="Calibri"/>
                <w:sz w:val="16"/>
                <w:szCs w:val="16"/>
                <w:lang w:val="en-US" w:eastAsia="en-US"/>
              </w:rPr>
              <w:t>Worldwide (except regions with specific prices)</w:t>
            </w:r>
          </w:p>
        </w:tc>
        <w:tc>
          <w:tcPr>
            <w:tcW w:w="586"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51F4374C"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Theme="minorHAnsi" w:hAnsiTheme="minorHAnsi" w:cstheme="minorHAnsi"/>
                <w:sz w:val="16"/>
                <w:szCs w:val="16"/>
              </w:rPr>
              <w:t>FOB</w:t>
            </w:r>
          </w:p>
        </w:tc>
        <w:tc>
          <w:tcPr>
            <w:tcW w:w="1115"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3BAA760F"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0.79</w:t>
            </w:r>
          </w:p>
        </w:tc>
        <w:tc>
          <w:tcPr>
            <w:tcW w:w="99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157FFF29" w14:textId="70EB4842"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6A6C75F9" w14:textId="0D3FEE70"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3D187547" w14:textId="76B71742"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65B83B27" w14:textId="6E5803BA" w:rsidTr="00E80B6C">
        <w:trPr>
          <w:trHeight w:val="57"/>
        </w:trPr>
        <w:tc>
          <w:tcPr>
            <w:tcW w:w="819" w:type="dxa"/>
            <w:tcBorders>
              <w:top w:val="single" w:sz="4" w:space="0" w:color="EAFF4D"/>
              <w:left w:val="single" w:sz="4" w:space="0" w:color="EAFF4D"/>
              <w:bottom w:val="single" w:sz="4" w:space="0" w:color="EAFF4D"/>
              <w:right w:val="single" w:sz="4" w:space="0" w:color="EAFF4D"/>
            </w:tcBorders>
            <w:shd w:val="clear" w:color="auto" w:fill="auto"/>
            <w:vAlign w:val="center"/>
          </w:tcPr>
          <w:p w14:paraId="5F29C556"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tcBorders>
              <w:top w:val="single" w:sz="4" w:space="0" w:color="EAFF4D"/>
              <w:left w:val="single" w:sz="4" w:space="0" w:color="EAFF4D"/>
              <w:bottom w:val="single" w:sz="4" w:space="0" w:color="EAFF4D"/>
              <w:right w:val="single" w:sz="4" w:space="0" w:color="EAFF4D"/>
            </w:tcBorders>
            <w:shd w:val="clear" w:color="auto" w:fill="auto"/>
            <w:vAlign w:val="center"/>
          </w:tcPr>
          <w:p w14:paraId="60844DDB"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Packed</w:t>
            </w:r>
          </w:p>
        </w:tc>
        <w:tc>
          <w:tcPr>
            <w:tcW w:w="1186" w:type="dxa"/>
            <w:tcBorders>
              <w:top w:val="single" w:sz="4" w:space="0" w:color="EAFF4D"/>
              <w:left w:val="single" w:sz="4" w:space="0" w:color="EAFF4D"/>
              <w:bottom w:val="single" w:sz="4" w:space="0" w:color="EAFF4D"/>
              <w:right w:val="single" w:sz="4" w:space="0" w:color="EAFF4D"/>
            </w:tcBorders>
            <w:shd w:val="clear" w:color="auto" w:fill="auto"/>
            <w:vAlign w:val="center"/>
          </w:tcPr>
          <w:p w14:paraId="4EABADB0" w14:textId="77777777" w:rsidR="00542D45" w:rsidRPr="001D7D6C" w:rsidRDefault="00542D45" w:rsidP="00542D45">
            <w:pPr>
              <w:spacing w:before="0" w:after="0" w:line="240" w:lineRule="auto"/>
              <w:jc w:val="left"/>
              <w:rPr>
                <w:rFonts w:asciiTheme="minorHAnsi" w:hAnsiTheme="minorHAnsi" w:cstheme="minorHAnsi"/>
                <w:sz w:val="16"/>
                <w:szCs w:val="16"/>
              </w:rPr>
            </w:pPr>
            <w:r w:rsidRPr="001D7D6C">
              <w:rPr>
                <w:rFonts w:asciiTheme="minorHAnsi" w:hAnsiTheme="minorHAnsi" w:cstheme="minorHAnsi"/>
                <w:sz w:val="16"/>
                <w:szCs w:val="16"/>
              </w:rPr>
              <w:t>Organic</w:t>
            </w:r>
          </w:p>
        </w:tc>
        <w:tc>
          <w:tcPr>
            <w:tcW w:w="3350" w:type="dxa"/>
            <w:tcBorders>
              <w:top w:val="single" w:sz="4" w:space="0" w:color="EAFF4D"/>
              <w:left w:val="single" w:sz="4" w:space="0" w:color="EAFF4D"/>
              <w:bottom w:val="single" w:sz="4" w:space="0" w:color="EAFF4D"/>
              <w:right w:val="single" w:sz="4" w:space="0" w:color="EAFF4D"/>
            </w:tcBorders>
            <w:shd w:val="clear" w:color="auto" w:fill="auto"/>
            <w:vAlign w:val="center"/>
          </w:tcPr>
          <w:p w14:paraId="2B331EB1" w14:textId="2A75A200" w:rsidR="00542D45" w:rsidRPr="001D7D6C" w:rsidRDefault="00440352" w:rsidP="00542D45">
            <w:pPr>
              <w:spacing w:before="0" w:after="0" w:line="240" w:lineRule="auto"/>
              <w:jc w:val="left"/>
              <w:rPr>
                <w:rFonts w:ascii="Calibri" w:hAnsi="Calibri" w:cs="Calibri"/>
                <w:sz w:val="16"/>
                <w:szCs w:val="16"/>
                <w:lang w:val="en-US" w:eastAsia="en-US"/>
              </w:rPr>
            </w:pPr>
            <w:r w:rsidRPr="00440352">
              <w:rPr>
                <w:rFonts w:ascii="Calibri" w:hAnsi="Calibri" w:cs="Calibri"/>
                <w:sz w:val="16"/>
                <w:szCs w:val="16"/>
                <w:lang w:val="en-US" w:eastAsia="en-US"/>
              </w:rPr>
              <w:t>Worldwide (except regions with specific prices)</w:t>
            </w:r>
          </w:p>
        </w:tc>
        <w:tc>
          <w:tcPr>
            <w:tcW w:w="586" w:type="dxa"/>
            <w:tcBorders>
              <w:top w:val="single" w:sz="4" w:space="0" w:color="EAFF4D"/>
              <w:left w:val="single" w:sz="4" w:space="0" w:color="EAFF4D"/>
              <w:bottom w:val="single" w:sz="4" w:space="0" w:color="EAFF4D"/>
              <w:right w:val="single" w:sz="4" w:space="0" w:color="EAFF4D"/>
            </w:tcBorders>
            <w:shd w:val="clear" w:color="auto" w:fill="auto"/>
            <w:vAlign w:val="center"/>
          </w:tcPr>
          <w:p w14:paraId="58FFFABC" w14:textId="77777777" w:rsidR="00542D45" w:rsidRPr="001D7D6C" w:rsidRDefault="00542D45" w:rsidP="00542D45">
            <w:pPr>
              <w:spacing w:before="0" w:after="0" w:line="240" w:lineRule="auto"/>
              <w:jc w:val="center"/>
              <w:rPr>
                <w:rFonts w:asciiTheme="minorHAnsi" w:hAnsiTheme="minorHAnsi" w:cstheme="minorHAnsi"/>
                <w:sz w:val="16"/>
                <w:szCs w:val="16"/>
              </w:rPr>
            </w:pPr>
            <w:r w:rsidRPr="001D7D6C">
              <w:rPr>
                <w:rFonts w:asciiTheme="minorHAnsi" w:hAnsiTheme="minorHAnsi" w:cstheme="minorHAnsi"/>
                <w:sz w:val="16"/>
                <w:szCs w:val="16"/>
              </w:rPr>
              <w:t>FOB</w:t>
            </w:r>
          </w:p>
        </w:tc>
        <w:tc>
          <w:tcPr>
            <w:tcW w:w="1115" w:type="dxa"/>
            <w:tcBorders>
              <w:top w:val="single" w:sz="4" w:space="0" w:color="EAFF4D"/>
              <w:left w:val="single" w:sz="4" w:space="0" w:color="EAFF4D"/>
              <w:bottom w:val="single" w:sz="4" w:space="0" w:color="EAFF4D"/>
              <w:right w:val="single" w:sz="4" w:space="0" w:color="EAFF4D"/>
            </w:tcBorders>
            <w:shd w:val="clear" w:color="auto" w:fill="auto"/>
            <w:vAlign w:val="center"/>
          </w:tcPr>
          <w:p w14:paraId="73DA77D5"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Calibri" w:hAnsi="Calibri" w:cs="Calibri"/>
                <w:sz w:val="16"/>
                <w:szCs w:val="16"/>
                <w:lang w:val="en-US" w:eastAsia="en-US"/>
              </w:rPr>
              <w:t>0.94</w:t>
            </w:r>
          </w:p>
        </w:tc>
        <w:tc>
          <w:tcPr>
            <w:tcW w:w="99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1F340983" w14:textId="7F419C23"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2A5DA60E" w14:textId="130FDBC9"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4193D5BB" w14:textId="619FA8FA" w:rsidR="00542D45" w:rsidRPr="001D7D6C" w:rsidRDefault="00542D45" w:rsidP="00542D45">
            <w:pPr>
              <w:spacing w:before="0" w:after="0" w:line="240" w:lineRule="auto"/>
              <w:jc w:val="center"/>
              <w:rPr>
                <w:rFonts w:ascii="Calibri" w:hAnsi="Calibri" w:cs="Calibri"/>
                <w:sz w:val="16"/>
                <w:szCs w:val="16"/>
                <w:highlight w:val="yellow"/>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79784C" w:rsidRPr="001D7D6C" w14:paraId="0004472E" w14:textId="5F7B34C8" w:rsidTr="00E80B6C">
        <w:trPr>
          <w:trHeight w:val="57"/>
        </w:trPr>
        <w:tc>
          <w:tcPr>
            <w:tcW w:w="819" w:type="dxa"/>
            <w:tcBorders>
              <w:top w:val="single" w:sz="4" w:space="0" w:color="BED600"/>
              <w:left w:val="single" w:sz="4" w:space="0" w:color="BED600"/>
              <w:bottom w:val="single" w:sz="4" w:space="0" w:color="BED600"/>
              <w:right w:val="nil"/>
            </w:tcBorders>
            <w:shd w:val="clear" w:color="auto" w:fill="92D050"/>
            <w:vAlign w:val="center"/>
            <w:hideMark/>
          </w:tcPr>
          <w:p w14:paraId="67C23FBA"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Product</w:t>
            </w:r>
          </w:p>
        </w:tc>
        <w:tc>
          <w:tcPr>
            <w:tcW w:w="2011" w:type="dxa"/>
            <w:tcBorders>
              <w:top w:val="single" w:sz="4" w:space="0" w:color="BED600"/>
              <w:left w:val="nil"/>
              <w:bottom w:val="single" w:sz="4" w:space="0" w:color="BED600"/>
              <w:right w:val="nil"/>
            </w:tcBorders>
            <w:shd w:val="clear" w:color="auto" w:fill="92D050"/>
            <w:vAlign w:val="center"/>
            <w:hideMark/>
          </w:tcPr>
          <w:p w14:paraId="2213A660"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Form</w:t>
            </w:r>
          </w:p>
        </w:tc>
        <w:tc>
          <w:tcPr>
            <w:tcW w:w="1186" w:type="dxa"/>
            <w:tcBorders>
              <w:top w:val="single" w:sz="4" w:space="0" w:color="BED600"/>
              <w:left w:val="nil"/>
              <w:bottom w:val="single" w:sz="4" w:space="0" w:color="BED600"/>
              <w:right w:val="nil"/>
            </w:tcBorders>
            <w:shd w:val="clear" w:color="auto" w:fill="92D050"/>
            <w:vAlign w:val="center"/>
            <w:hideMark/>
          </w:tcPr>
          <w:p w14:paraId="66E2889D"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Quality</w:t>
            </w:r>
          </w:p>
        </w:tc>
        <w:tc>
          <w:tcPr>
            <w:tcW w:w="3350" w:type="dxa"/>
            <w:tcBorders>
              <w:top w:val="single" w:sz="4" w:space="0" w:color="BED600"/>
              <w:left w:val="nil"/>
              <w:bottom w:val="single" w:sz="4" w:space="0" w:color="BED600"/>
              <w:right w:val="nil"/>
            </w:tcBorders>
            <w:shd w:val="clear" w:color="auto" w:fill="92D050"/>
            <w:vAlign w:val="center"/>
            <w:hideMark/>
          </w:tcPr>
          <w:p w14:paraId="1B9FE3C7"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Country</w:t>
            </w:r>
          </w:p>
        </w:tc>
        <w:tc>
          <w:tcPr>
            <w:tcW w:w="586" w:type="dxa"/>
            <w:tcBorders>
              <w:top w:val="single" w:sz="4" w:space="0" w:color="BED600"/>
              <w:left w:val="nil"/>
              <w:bottom w:val="single" w:sz="4" w:space="0" w:color="BED600"/>
              <w:right w:val="nil"/>
            </w:tcBorders>
            <w:shd w:val="clear" w:color="auto" w:fill="92D050"/>
            <w:vAlign w:val="center"/>
            <w:hideMark/>
          </w:tcPr>
          <w:p w14:paraId="6175237F"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Price level</w:t>
            </w:r>
          </w:p>
        </w:tc>
        <w:tc>
          <w:tcPr>
            <w:tcW w:w="1115" w:type="dxa"/>
            <w:tcBorders>
              <w:top w:val="single" w:sz="4" w:space="0" w:color="BED600"/>
              <w:left w:val="nil"/>
              <w:bottom w:val="single" w:sz="4" w:space="0" w:color="BED600"/>
              <w:right w:val="nil"/>
            </w:tcBorders>
            <w:shd w:val="clear" w:color="auto" w:fill="92D050"/>
            <w:vAlign w:val="center"/>
            <w:hideMark/>
          </w:tcPr>
          <w:p w14:paraId="4F27730B" w14:textId="4C231813"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FMP (USD/KG)</w:t>
            </w:r>
          </w:p>
        </w:tc>
        <w:tc>
          <w:tcPr>
            <w:tcW w:w="992" w:type="dxa"/>
            <w:tcBorders>
              <w:top w:val="single" w:sz="4" w:space="0" w:color="BED600"/>
              <w:left w:val="nil"/>
              <w:bottom w:val="single" w:sz="4" w:space="0" w:color="BED600"/>
              <w:right w:val="nil"/>
            </w:tcBorders>
            <w:shd w:val="clear" w:color="auto" w:fill="FFFFFF" w:themeFill="background1"/>
            <w:vAlign w:val="center"/>
          </w:tcPr>
          <w:p w14:paraId="37753FCB" w14:textId="5961193A" w:rsidR="0079784C" w:rsidRPr="00542D45" w:rsidRDefault="0079784C" w:rsidP="0079784C">
            <w:pPr>
              <w:spacing w:before="0" w:after="0" w:line="240" w:lineRule="auto"/>
              <w:jc w:val="center"/>
              <w:rPr>
                <w:rFonts w:ascii="Calibri" w:hAnsi="Calibri" w:cs="Calibri"/>
                <w:b/>
                <w:bCs/>
                <w:sz w:val="16"/>
                <w:szCs w:val="16"/>
                <w:lang w:val="en-US" w:eastAsia="en-US"/>
              </w:rPr>
            </w:pPr>
            <w:r>
              <w:rPr>
                <w:rFonts w:ascii="Calibri" w:hAnsi="Calibri" w:cs="Calibri"/>
                <w:b/>
                <w:bCs/>
                <w:sz w:val="16"/>
                <w:szCs w:val="16"/>
                <w:lang w:val="en-US" w:eastAsia="en-US"/>
              </w:rPr>
              <w:t>Agree</w:t>
            </w:r>
          </w:p>
        </w:tc>
        <w:tc>
          <w:tcPr>
            <w:tcW w:w="1362" w:type="dxa"/>
            <w:tcBorders>
              <w:top w:val="single" w:sz="4" w:space="0" w:color="BED600"/>
              <w:left w:val="nil"/>
              <w:bottom w:val="single" w:sz="4" w:space="0" w:color="BED600"/>
              <w:right w:val="single" w:sz="4" w:space="0" w:color="BED600"/>
            </w:tcBorders>
            <w:shd w:val="clear" w:color="auto" w:fill="FFFFFF" w:themeFill="background1"/>
            <w:vAlign w:val="center"/>
          </w:tcPr>
          <w:p w14:paraId="281D1D93" w14:textId="2CB6EB33" w:rsidR="0079784C" w:rsidRPr="001D7D6C" w:rsidRDefault="0079784C" w:rsidP="0079784C">
            <w:pPr>
              <w:spacing w:before="0" w:after="0" w:line="240" w:lineRule="auto"/>
              <w:jc w:val="center"/>
              <w:rPr>
                <w:rFonts w:ascii="Calibri" w:hAnsi="Calibri" w:cs="Calibri"/>
                <w:b/>
                <w:bCs/>
                <w:color w:val="FFFFFF"/>
                <w:sz w:val="16"/>
                <w:szCs w:val="16"/>
                <w:lang w:val="en-US" w:eastAsia="en-US"/>
              </w:rPr>
            </w:pPr>
            <w:r w:rsidRPr="00542D45">
              <w:rPr>
                <w:rFonts w:ascii="Calibri" w:hAnsi="Calibri" w:cs="Calibri"/>
                <w:b/>
                <w:bCs/>
                <w:sz w:val="16"/>
                <w:szCs w:val="16"/>
                <w:lang w:val="en-US" w:eastAsia="en-US"/>
              </w:rPr>
              <w:t>Disagree</w:t>
            </w:r>
          </w:p>
        </w:tc>
        <w:tc>
          <w:tcPr>
            <w:tcW w:w="3032" w:type="dxa"/>
            <w:tcBorders>
              <w:top w:val="single" w:sz="4" w:space="0" w:color="BED600"/>
              <w:left w:val="nil"/>
              <w:bottom w:val="single" w:sz="4" w:space="0" w:color="BED600"/>
              <w:right w:val="single" w:sz="4" w:space="0" w:color="BED600"/>
            </w:tcBorders>
            <w:shd w:val="clear" w:color="auto" w:fill="FFFFFF" w:themeFill="background1"/>
            <w:vAlign w:val="center"/>
          </w:tcPr>
          <w:p w14:paraId="14A4D24C" w14:textId="76A384BC" w:rsidR="0079784C" w:rsidRPr="001D7D6C" w:rsidRDefault="0079784C" w:rsidP="0079784C">
            <w:pPr>
              <w:spacing w:before="0" w:after="0" w:line="240" w:lineRule="auto"/>
              <w:jc w:val="center"/>
              <w:rPr>
                <w:rFonts w:ascii="Calibri" w:hAnsi="Calibri" w:cs="Calibri"/>
                <w:b/>
                <w:bCs/>
                <w:color w:val="FFFFFF"/>
                <w:sz w:val="16"/>
                <w:szCs w:val="16"/>
                <w:lang w:val="en-US" w:eastAsia="en-US"/>
              </w:rPr>
            </w:pPr>
            <w:r w:rsidRPr="00542D45">
              <w:rPr>
                <w:rFonts w:ascii="Calibri" w:hAnsi="Calibri" w:cs="Calibri"/>
                <w:b/>
                <w:bCs/>
                <w:sz w:val="16"/>
                <w:szCs w:val="16"/>
                <w:lang w:val="en-US" w:eastAsia="en-US"/>
              </w:rPr>
              <w:t>Rationale/</w:t>
            </w:r>
            <w:r>
              <w:rPr>
                <w:rFonts w:ascii="Calibri" w:hAnsi="Calibri" w:cs="Calibri"/>
                <w:b/>
                <w:bCs/>
                <w:sz w:val="16"/>
                <w:szCs w:val="16"/>
                <w:lang w:val="en-US" w:eastAsia="en-US"/>
              </w:rPr>
              <w:t xml:space="preserve"> </w:t>
            </w:r>
            <w:r w:rsidRPr="00542D45">
              <w:rPr>
                <w:rFonts w:ascii="Calibri" w:hAnsi="Calibri" w:cs="Calibri"/>
                <w:b/>
                <w:bCs/>
                <w:sz w:val="16"/>
                <w:szCs w:val="16"/>
                <w:lang w:val="en-US" w:eastAsia="en-US"/>
              </w:rPr>
              <w:t>alternative</w:t>
            </w:r>
          </w:p>
        </w:tc>
      </w:tr>
      <w:tr w:rsidR="00542D45" w:rsidRPr="001D7D6C" w14:paraId="419CFD5A" w14:textId="122467D5" w:rsidTr="00E80B6C">
        <w:trPr>
          <w:trHeight w:val="57"/>
        </w:trPr>
        <w:tc>
          <w:tcPr>
            <w:tcW w:w="819" w:type="dxa"/>
            <w:tcBorders>
              <w:top w:val="single" w:sz="4" w:space="0" w:color="BED600"/>
            </w:tcBorders>
            <w:shd w:val="clear" w:color="auto" w:fill="FFF2CC" w:themeFill="accent4" w:themeFillTint="33"/>
            <w:vAlign w:val="center"/>
            <w:hideMark/>
          </w:tcPr>
          <w:p w14:paraId="3F2B5AB8" w14:textId="77777777" w:rsidR="00542D45" w:rsidRPr="00542D45" w:rsidRDefault="00542D45" w:rsidP="00542D45">
            <w:pPr>
              <w:spacing w:before="0" w:after="0" w:line="240" w:lineRule="auto"/>
              <w:jc w:val="left"/>
              <w:rPr>
                <w:rFonts w:ascii="Calibri" w:hAnsi="Calibri" w:cs="Calibri"/>
                <w:b/>
                <w:bCs/>
                <w:sz w:val="16"/>
                <w:szCs w:val="16"/>
                <w:lang w:val="en-US" w:eastAsia="en-US"/>
              </w:rPr>
            </w:pPr>
            <w:r w:rsidRPr="00542D45">
              <w:rPr>
                <w:rFonts w:ascii="Calibri" w:hAnsi="Calibri" w:cs="Calibri"/>
                <w:b/>
                <w:bCs/>
                <w:sz w:val="16"/>
                <w:szCs w:val="16"/>
                <w:lang w:val="en-US" w:eastAsia="en-US"/>
              </w:rPr>
              <w:t>Limes</w:t>
            </w:r>
          </w:p>
        </w:tc>
        <w:tc>
          <w:tcPr>
            <w:tcW w:w="2011" w:type="dxa"/>
            <w:tcBorders>
              <w:top w:val="single" w:sz="4" w:space="0" w:color="BED600"/>
            </w:tcBorders>
            <w:shd w:val="clear" w:color="auto" w:fill="FFF2CC" w:themeFill="accent4" w:themeFillTint="33"/>
            <w:vAlign w:val="center"/>
            <w:hideMark/>
          </w:tcPr>
          <w:p w14:paraId="7D4428B9" w14:textId="77777777" w:rsidR="00542D45" w:rsidRPr="00542D45" w:rsidRDefault="00542D45" w:rsidP="00542D45">
            <w:pPr>
              <w:spacing w:before="0" w:after="0" w:line="240" w:lineRule="auto"/>
              <w:jc w:val="left"/>
              <w:rPr>
                <w:rFonts w:ascii="Calibri" w:hAnsi="Calibri" w:cs="Calibri"/>
                <w:sz w:val="16"/>
                <w:szCs w:val="16"/>
                <w:lang w:val="en-US" w:eastAsia="en-US"/>
              </w:rPr>
            </w:pPr>
            <w:r w:rsidRPr="00542D45">
              <w:rPr>
                <w:rFonts w:ascii="Calibri" w:hAnsi="Calibri" w:cs="Calibri"/>
                <w:sz w:val="16"/>
                <w:szCs w:val="16"/>
                <w:lang w:val="en-US" w:eastAsia="en-US"/>
              </w:rPr>
              <w:t>For processing</w:t>
            </w:r>
          </w:p>
        </w:tc>
        <w:tc>
          <w:tcPr>
            <w:tcW w:w="1186" w:type="dxa"/>
            <w:tcBorders>
              <w:top w:val="single" w:sz="4" w:space="0" w:color="BED600"/>
            </w:tcBorders>
            <w:shd w:val="clear" w:color="auto" w:fill="FFF2CC" w:themeFill="accent4" w:themeFillTint="33"/>
            <w:vAlign w:val="center"/>
            <w:hideMark/>
          </w:tcPr>
          <w:p w14:paraId="3ADB2DC7" w14:textId="77777777" w:rsidR="00542D45" w:rsidRPr="00542D45" w:rsidRDefault="00542D45" w:rsidP="00542D45">
            <w:pPr>
              <w:spacing w:before="0" w:after="0" w:line="240" w:lineRule="auto"/>
              <w:jc w:val="left"/>
              <w:rPr>
                <w:rFonts w:ascii="Calibri" w:hAnsi="Calibri" w:cs="Calibri"/>
                <w:sz w:val="16"/>
                <w:szCs w:val="16"/>
                <w:lang w:val="en-US" w:eastAsia="en-US"/>
              </w:rPr>
            </w:pPr>
            <w:r w:rsidRPr="00542D45">
              <w:rPr>
                <w:rFonts w:ascii="Calibri" w:hAnsi="Calibri" w:cs="Calibri"/>
                <w:sz w:val="16"/>
                <w:szCs w:val="16"/>
                <w:lang w:val="en-US" w:eastAsia="en-US"/>
              </w:rPr>
              <w:t>Conventional</w:t>
            </w:r>
          </w:p>
        </w:tc>
        <w:tc>
          <w:tcPr>
            <w:tcW w:w="3350" w:type="dxa"/>
            <w:tcBorders>
              <w:top w:val="single" w:sz="4" w:space="0" w:color="BED600"/>
            </w:tcBorders>
            <w:shd w:val="clear" w:color="auto" w:fill="FFF2CC" w:themeFill="accent4" w:themeFillTint="33"/>
            <w:vAlign w:val="center"/>
            <w:hideMark/>
          </w:tcPr>
          <w:p w14:paraId="05780CC7" w14:textId="77777777" w:rsidR="00542D45" w:rsidRPr="00542D45" w:rsidRDefault="00542D45" w:rsidP="00542D45">
            <w:pPr>
              <w:spacing w:before="0" w:after="0" w:line="240" w:lineRule="auto"/>
              <w:jc w:val="left"/>
              <w:rPr>
                <w:rFonts w:ascii="Calibri" w:hAnsi="Calibri" w:cs="Calibri"/>
                <w:sz w:val="16"/>
                <w:szCs w:val="16"/>
                <w:lang w:val="en-US" w:eastAsia="en-US"/>
              </w:rPr>
            </w:pPr>
            <w:r w:rsidRPr="00542D45">
              <w:rPr>
                <w:rFonts w:ascii="Calibri" w:hAnsi="Calibri" w:cs="Calibri"/>
                <w:sz w:val="16"/>
                <w:szCs w:val="16"/>
                <w:lang w:val="en-US" w:eastAsia="en-US"/>
              </w:rPr>
              <w:t>Worldwide</w:t>
            </w:r>
          </w:p>
        </w:tc>
        <w:tc>
          <w:tcPr>
            <w:tcW w:w="586" w:type="dxa"/>
            <w:tcBorders>
              <w:top w:val="single" w:sz="4" w:space="0" w:color="BED600"/>
            </w:tcBorders>
            <w:shd w:val="clear" w:color="auto" w:fill="FFF2CC" w:themeFill="accent4" w:themeFillTint="33"/>
            <w:vAlign w:val="center"/>
            <w:hideMark/>
          </w:tcPr>
          <w:p w14:paraId="2B46DF6B" w14:textId="77777777" w:rsidR="00542D45" w:rsidRPr="00542D45" w:rsidRDefault="00542D45" w:rsidP="00542D45">
            <w:pPr>
              <w:spacing w:before="0" w:after="0" w:line="240" w:lineRule="auto"/>
              <w:jc w:val="center"/>
              <w:rPr>
                <w:rFonts w:ascii="Calibri" w:hAnsi="Calibri" w:cs="Calibri"/>
                <w:sz w:val="16"/>
                <w:szCs w:val="16"/>
                <w:lang w:val="en-US" w:eastAsia="en-US"/>
              </w:rPr>
            </w:pPr>
            <w:r w:rsidRPr="00542D45">
              <w:rPr>
                <w:rFonts w:ascii="Calibri" w:hAnsi="Calibri" w:cs="Calibri"/>
                <w:sz w:val="16"/>
                <w:szCs w:val="16"/>
                <w:lang w:val="en-US" w:eastAsia="en-US"/>
              </w:rPr>
              <w:t>EXW</w:t>
            </w:r>
          </w:p>
        </w:tc>
        <w:tc>
          <w:tcPr>
            <w:tcW w:w="1115" w:type="dxa"/>
            <w:tcBorders>
              <w:top w:val="single" w:sz="4" w:space="0" w:color="BED600"/>
            </w:tcBorders>
            <w:shd w:val="clear" w:color="auto" w:fill="FFF2CC" w:themeFill="accent4" w:themeFillTint="33"/>
            <w:vAlign w:val="center"/>
            <w:hideMark/>
          </w:tcPr>
          <w:p w14:paraId="6AB6FD17" w14:textId="77777777" w:rsidR="00542D45" w:rsidRPr="00542D45" w:rsidRDefault="00542D45" w:rsidP="00542D45">
            <w:pPr>
              <w:spacing w:before="0" w:after="0" w:line="240" w:lineRule="auto"/>
              <w:jc w:val="left"/>
              <w:rPr>
                <w:rFonts w:ascii="Calibri" w:hAnsi="Calibri" w:cs="Calibri"/>
                <w:sz w:val="16"/>
                <w:szCs w:val="16"/>
                <w:lang w:val="en-US" w:eastAsia="en-US"/>
              </w:rPr>
            </w:pPr>
            <w:r w:rsidRPr="00542D45">
              <w:rPr>
                <w:rFonts w:ascii="Calibri" w:hAnsi="Calibri" w:cs="Calibri"/>
                <w:sz w:val="16"/>
                <w:szCs w:val="16"/>
                <w:lang w:val="en-US" w:eastAsia="en-US"/>
              </w:rPr>
              <w:t>Commercial Price</w:t>
            </w:r>
          </w:p>
        </w:tc>
        <w:tc>
          <w:tcPr>
            <w:tcW w:w="992" w:type="dxa"/>
            <w:tcBorders>
              <w:top w:val="single" w:sz="4" w:space="0" w:color="BED600"/>
            </w:tcBorders>
            <w:shd w:val="clear" w:color="auto" w:fill="FFFFFF" w:themeFill="background1"/>
            <w:vAlign w:val="center"/>
          </w:tcPr>
          <w:p w14:paraId="091855F1" w14:textId="715D8CE6" w:rsidR="00542D45" w:rsidRPr="00542D45"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tcBorders>
              <w:top w:val="single" w:sz="4" w:space="0" w:color="BED600"/>
            </w:tcBorders>
            <w:shd w:val="clear" w:color="auto" w:fill="FFFFFF" w:themeFill="background1"/>
            <w:vAlign w:val="center"/>
          </w:tcPr>
          <w:p w14:paraId="05A5B853" w14:textId="2CF3455F"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tcBorders>
              <w:top w:val="single" w:sz="4" w:space="0" w:color="BED600"/>
            </w:tcBorders>
            <w:shd w:val="clear" w:color="auto" w:fill="FFFFFF" w:themeFill="background1"/>
            <w:vAlign w:val="center"/>
          </w:tcPr>
          <w:p w14:paraId="19B00F07" w14:textId="5209390E" w:rsidR="00542D45" w:rsidRPr="001D7D6C" w:rsidRDefault="00542D45" w:rsidP="00542D45">
            <w:pPr>
              <w:spacing w:before="0" w:after="0" w:line="240" w:lineRule="auto"/>
              <w:jc w:val="center"/>
              <w:rPr>
                <w:rFonts w:ascii="Calibri" w:hAnsi="Calibri" w:cs="Calibri"/>
                <w:sz w:val="16"/>
                <w:szCs w:val="16"/>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12AA50F5" w14:textId="123D3F4F" w:rsidTr="00E80B6C">
        <w:trPr>
          <w:trHeight w:val="57"/>
        </w:trPr>
        <w:tc>
          <w:tcPr>
            <w:tcW w:w="819" w:type="dxa"/>
            <w:shd w:val="clear" w:color="auto" w:fill="auto"/>
            <w:vAlign w:val="center"/>
          </w:tcPr>
          <w:p w14:paraId="3EB03E30" w14:textId="77777777" w:rsidR="00542D45" w:rsidRPr="00542D45" w:rsidRDefault="00542D45" w:rsidP="00542D45">
            <w:pPr>
              <w:spacing w:before="0" w:after="0" w:line="240" w:lineRule="auto"/>
              <w:jc w:val="left"/>
              <w:rPr>
                <w:rFonts w:ascii="Calibri" w:hAnsi="Calibri" w:cs="Calibri"/>
                <w:b/>
                <w:bCs/>
                <w:sz w:val="16"/>
                <w:szCs w:val="16"/>
                <w:lang w:val="en-US" w:eastAsia="en-US"/>
              </w:rPr>
            </w:pPr>
            <w:r w:rsidRPr="00542D45">
              <w:rPr>
                <w:rFonts w:ascii="Calibri" w:hAnsi="Calibri" w:cs="Calibri"/>
                <w:b/>
                <w:bCs/>
                <w:sz w:val="16"/>
                <w:szCs w:val="16"/>
                <w:lang w:val="en-US" w:eastAsia="en-US"/>
              </w:rPr>
              <w:t>Limes</w:t>
            </w:r>
          </w:p>
        </w:tc>
        <w:tc>
          <w:tcPr>
            <w:tcW w:w="2011" w:type="dxa"/>
            <w:shd w:val="clear" w:color="auto" w:fill="auto"/>
            <w:vAlign w:val="center"/>
          </w:tcPr>
          <w:p w14:paraId="0A4E7EC6" w14:textId="77777777" w:rsidR="00542D45" w:rsidRPr="00542D45" w:rsidRDefault="00542D45" w:rsidP="00542D45">
            <w:pPr>
              <w:spacing w:before="0" w:after="0" w:line="240" w:lineRule="auto"/>
              <w:jc w:val="left"/>
              <w:rPr>
                <w:rFonts w:ascii="Calibri" w:hAnsi="Calibri" w:cs="Calibri"/>
                <w:sz w:val="16"/>
                <w:szCs w:val="16"/>
                <w:lang w:val="en-US" w:eastAsia="en-US"/>
              </w:rPr>
            </w:pPr>
            <w:r w:rsidRPr="00542D45">
              <w:rPr>
                <w:rFonts w:ascii="Calibri" w:hAnsi="Calibri" w:cs="Calibri"/>
                <w:sz w:val="16"/>
                <w:szCs w:val="16"/>
                <w:lang w:val="en-US" w:eastAsia="en-US"/>
              </w:rPr>
              <w:t>For processing</w:t>
            </w:r>
          </w:p>
        </w:tc>
        <w:tc>
          <w:tcPr>
            <w:tcW w:w="1186" w:type="dxa"/>
            <w:shd w:val="clear" w:color="auto" w:fill="auto"/>
            <w:vAlign w:val="center"/>
          </w:tcPr>
          <w:p w14:paraId="0062226A" w14:textId="77777777" w:rsidR="00542D45" w:rsidRPr="00542D45" w:rsidRDefault="00542D45" w:rsidP="00542D45">
            <w:pPr>
              <w:spacing w:before="0" w:after="0" w:line="240" w:lineRule="auto"/>
              <w:jc w:val="left"/>
              <w:rPr>
                <w:rFonts w:ascii="Calibri" w:hAnsi="Calibri" w:cs="Calibri"/>
                <w:sz w:val="16"/>
                <w:szCs w:val="16"/>
                <w:lang w:val="en-US" w:eastAsia="en-US"/>
              </w:rPr>
            </w:pPr>
            <w:r w:rsidRPr="00542D45">
              <w:rPr>
                <w:rFonts w:asciiTheme="minorHAnsi" w:hAnsiTheme="minorHAnsi" w:cstheme="minorHAnsi"/>
                <w:sz w:val="16"/>
                <w:szCs w:val="16"/>
              </w:rPr>
              <w:t>Organic</w:t>
            </w:r>
          </w:p>
        </w:tc>
        <w:tc>
          <w:tcPr>
            <w:tcW w:w="3350" w:type="dxa"/>
            <w:shd w:val="clear" w:color="auto" w:fill="auto"/>
            <w:vAlign w:val="center"/>
          </w:tcPr>
          <w:p w14:paraId="4FCEDDA0" w14:textId="77777777" w:rsidR="00542D45" w:rsidRPr="00542D45" w:rsidRDefault="00542D45" w:rsidP="00542D45">
            <w:pPr>
              <w:spacing w:before="0" w:after="0" w:line="240" w:lineRule="auto"/>
              <w:jc w:val="left"/>
              <w:rPr>
                <w:rFonts w:ascii="Calibri" w:hAnsi="Calibri" w:cs="Calibri"/>
                <w:sz w:val="16"/>
                <w:szCs w:val="16"/>
                <w:lang w:val="en-US" w:eastAsia="en-US"/>
              </w:rPr>
            </w:pPr>
            <w:r w:rsidRPr="00542D45">
              <w:rPr>
                <w:rFonts w:ascii="Calibri" w:hAnsi="Calibri" w:cs="Calibri"/>
                <w:sz w:val="16"/>
                <w:szCs w:val="16"/>
                <w:lang w:val="en-US" w:eastAsia="en-US"/>
              </w:rPr>
              <w:t>Worldwide</w:t>
            </w:r>
          </w:p>
        </w:tc>
        <w:tc>
          <w:tcPr>
            <w:tcW w:w="586" w:type="dxa"/>
            <w:shd w:val="clear" w:color="auto" w:fill="auto"/>
            <w:vAlign w:val="center"/>
          </w:tcPr>
          <w:p w14:paraId="361CBCE8" w14:textId="77777777" w:rsidR="00542D45" w:rsidRPr="00542D45" w:rsidRDefault="00542D45" w:rsidP="00542D45">
            <w:pPr>
              <w:spacing w:before="0" w:after="0" w:line="240" w:lineRule="auto"/>
              <w:jc w:val="center"/>
              <w:rPr>
                <w:rFonts w:ascii="Calibri" w:hAnsi="Calibri" w:cs="Calibri"/>
                <w:sz w:val="16"/>
                <w:szCs w:val="16"/>
                <w:lang w:val="en-US" w:eastAsia="en-US"/>
              </w:rPr>
            </w:pPr>
            <w:r w:rsidRPr="00542D45">
              <w:rPr>
                <w:rFonts w:asciiTheme="minorHAnsi" w:hAnsiTheme="minorHAnsi" w:cstheme="minorHAnsi"/>
                <w:sz w:val="16"/>
                <w:szCs w:val="16"/>
              </w:rPr>
              <w:t>EXW</w:t>
            </w:r>
          </w:p>
        </w:tc>
        <w:tc>
          <w:tcPr>
            <w:tcW w:w="1115" w:type="dxa"/>
            <w:shd w:val="clear" w:color="auto" w:fill="auto"/>
            <w:vAlign w:val="center"/>
          </w:tcPr>
          <w:p w14:paraId="0535ED0A" w14:textId="77777777" w:rsidR="00542D45" w:rsidRPr="00542D45" w:rsidRDefault="00542D45" w:rsidP="00542D45">
            <w:pPr>
              <w:spacing w:before="0" w:after="0" w:line="240" w:lineRule="auto"/>
              <w:jc w:val="left"/>
              <w:rPr>
                <w:rFonts w:ascii="Calibri" w:hAnsi="Calibri" w:cs="Calibri"/>
                <w:sz w:val="16"/>
                <w:szCs w:val="16"/>
                <w:lang w:val="en-US" w:eastAsia="en-US"/>
              </w:rPr>
            </w:pPr>
            <w:r w:rsidRPr="00542D45">
              <w:rPr>
                <w:rFonts w:ascii="Calibri" w:hAnsi="Calibri" w:cs="Calibri"/>
                <w:sz w:val="16"/>
                <w:szCs w:val="16"/>
                <w:lang w:val="en-US" w:eastAsia="en-US"/>
              </w:rPr>
              <w:t>Commercial Price</w:t>
            </w:r>
          </w:p>
        </w:tc>
        <w:tc>
          <w:tcPr>
            <w:tcW w:w="992" w:type="dxa"/>
            <w:shd w:val="clear" w:color="auto" w:fill="FFFFFF" w:themeFill="background1"/>
            <w:vAlign w:val="center"/>
          </w:tcPr>
          <w:p w14:paraId="00D35029" w14:textId="58A8FF0E" w:rsidR="00542D45" w:rsidRPr="00542D45"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45B6D8DC" w14:textId="664DB159"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52B28347" w14:textId="6AA5B52F" w:rsidR="00542D45" w:rsidRPr="001D7D6C" w:rsidRDefault="00542D45" w:rsidP="00542D45">
            <w:pPr>
              <w:spacing w:before="0" w:after="0" w:line="240" w:lineRule="auto"/>
              <w:jc w:val="center"/>
              <w:rPr>
                <w:rFonts w:ascii="Calibri" w:hAnsi="Calibri" w:cs="Calibri"/>
                <w:sz w:val="16"/>
                <w:szCs w:val="16"/>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79784C" w:rsidRPr="001D7D6C" w14:paraId="7DDF74DE" w14:textId="256322DF" w:rsidTr="00E80B6C">
        <w:trPr>
          <w:trHeight w:val="57"/>
        </w:trPr>
        <w:tc>
          <w:tcPr>
            <w:tcW w:w="819" w:type="dxa"/>
            <w:shd w:val="clear" w:color="auto" w:fill="92D050"/>
            <w:vAlign w:val="center"/>
          </w:tcPr>
          <w:p w14:paraId="2AF08E90"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Product</w:t>
            </w:r>
          </w:p>
        </w:tc>
        <w:tc>
          <w:tcPr>
            <w:tcW w:w="2011" w:type="dxa"/>
            <w:shd w:val="clear" w:color="auto" w:fill="92D050"/>
            <w:vAlign w:val="center"/>
          </w:tcPr>
          <w:p w14:paraId="6999EFB2"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Form</w:t>
            </w:r>
          </w:p>
        </w:tc>
        <w:tc>
          <w:tcPr>
            <w:tcW w:w="1186" w:type="dxa"/>
            <w:shd w:val="clear" w:color="auto" w:fill="92D050"/>
            <w:vAlign w:val="center"/>
          </w:tcPr>
          <w:p w14:paraId="518D6125"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Quality</w:t>
            </w:r>
          </w:p>
        </w:tc>
        <w:tc>
          <w:tcPr>
            <w:tcW w:w="3350" w:type="dxa"/>
            <w:shd w:val="clear" w:color="auto" w:fill="92D050"/>
            <w:vAlign w:val="center"/>
          </w:tcPr>
          <w:p w14:paraId="37D4AE58"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Country</w:t>
            </w:r>
          </w:p>
        </w:tc>
        <w:tc>
          <w:tcPr>
            <w:tcW w:w="586" w:type="dxa"/>
            <w:shd w:val="clear" w:color="auto" w:fill="92D050"/>
            <w:vAlign w:val="center"/>
          </w:tcPr>
          <w:p w14:paraId="7D97B7CC" w14:textId="77777777"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Price level</w:t>
            </w:r>
          </w:p>
        </w:tc>
        <w:tc>
          <w:tcPr>
            <w:tcW w:w="1115" w:type="dxa"/>
            <w:shd w:val="clear" w:color="auto" w:fill="92D050"/>
            <w:vAlign w:val="center"/>
          </w:tcPr>
          <w:p w14:paraId="1A64F5B5" w14:textId="55D43CC9" w:rsidR="0079784C" w:rsidRPr="00542D45" w:rsidRDefault="0079784C" w:rsidP="0079784C">
            <w:pPr>
              <w:spacing w:before="0" w:after="0" w:line="240" w:lineRule="auto"/>
              <w:jc w:val="center"/>
              <w:rPr>
                <w:rFonts w:ascii="Calibri" w:hAnsi="Calibri" w:cs="Calibri"/>
                <w:b/>
                <w:bCs/>
                <w:sz w:val="16"/>
                <w:szCs w:val="16"/>
                <w:lang w:val="en-US" w:eastAsia="en-US"/>
              </w:rPr>
            </w:pPr>
            <w:r w:rsidRPr="00542D45">
              <w:rPr>
                <w:rFonts w:ascii="Calibri" w:hAnsi="Calibri" w:cs="Calibri"/>
                <w:b/>
                <w:bCs/>
                <w:sz w:val="16"/>
                <w:szCs w:val="16"/>
                <w:lang w:val="en-US" w:eastAsia="en-US"/>
              </w:rPr>
              <w:t>FMP (USD/MT of juice))</w:t>
            </w:r>
          </w:p>
        </w:tc>
        <w:tc>
          <w:tcPr>
            <w:tcW w:w="992" w:type="dxa"/>
            <w:shd w:val="clear" w:color="auto" w:fill="FFFFFF" w:themeFill="background1"/>
            <w:vAlign w:val="center"/>
          </w:tcPr>
          <w:p w14:paraId="2E32D940" w14:textId="14566A45" w:rsidR="0079784C" w:rsidRPr="00542D45" w:rsidRDefault="0079784C" w:rsidP="0079784C">
            <w:pPr>
              <w:spacing w:before="0" w:after="0" w:line="240" w:lineRule="auto"/>
              <w:jc w:val="center"/>
              <w:rPr>
                <w:rFonts w:ascii="Calibri" w:hAnsi="Calibri" w:cs="Calibri"/>
                <w:b/>
                <w:bCs/>
                <w:sz w:val="16"/>
                <w:szCs w:val="16"/>
                <w:lang w:val="en-US" w:eastAsia="en-US"/>
              </w:rPr>
            </w:pPr>
            <w:r>
              <w:rPr>
                <w:rFonts w:ascii="Calibri" w:hAnsi="Calibri" w:cs="Calibri"/>
                <w:b/>
                <w:bCs/>
                <w:sz w:val="16"/>
                <w:szCs w:val="16"/>
                <w:lang w:val="en-US" w:eastAsia="en-US"/>
              </w:rPr>
              <w:t>Agree</w:t>
            </w:r>
          </w:p>
        </w:tc>
        <w:tc>
          <w:tcPr>
            <w:tcW w:w="1362" w:type="dxa"/>
            <w:shd w:val="clear" w:color="auto" w:fill="FFFFFF" w:themeFill="background1"/>
            <w:vAlign w:val="center"/>
          </w:tcPr>
          <w:p w14:paraId="6FC54470" w14:textId="3C3C3272" w:rsidR="0079784C" w:rsidRPr="001D7D6C" w:rsidRDefault="0079784C" w:rsidP="0079784C">
            <w:pPr>
              <w:spacing w:before="0" w:after="0" w:line="240" w:lineRule="auto"/>
              <w:jc w:val="center"/>
              <w:rPr>
                <w:rFonts w:ascii="Calibri" w:hAnsi="Calibri" w:cs="Calibri"/>
                <w:b/>
                <w:bCs/>
                <w:color w:val="FFFFFF"/>
                <w:sz w:val="16"/>
                <w:szCs w:val="16"/>
                <w:lang w:val="en-US" w:eastAsia="en-US"/>
              </w:rPr>
            </w:pPr>
            <w:r w:rsidRPr="00542D45">
              <w:rPr>
                <w:rFonts w:ascii="Calibri" w:hAnsi="Calibri" w:cs="Calibri"/>
                <w:b/>
                <w:bCs/>
                <w:sz w:val="16"/>
                <w:szCs w:val="16"/>
                <w:lang w:val="en-US" w:eastAsia="en-US"/>
              </w:rPr>
              <w:t>Disagree</w:t>
            </w:r>
          </w:p>
        </w:tc>
        <w:tc>
          <w:tcPr>
            <w:tcW w:w="3032" w:type="dxa"/>
            <w:shd w:val="clear" w:color="auto" w:fill="FFFFFF" w:themeFill="background1"/>
            <w:vAlign w:val="center"/>
          </w:tcPr>
          <w:p w14:paraId="673D83F3" w14:textId="72A02D22" w:rsidR="0079784C" w:rsidRPr="001D7D6C" w:rsidRDefault="0079784C" w:rsidP="0079784C">
            <w:pPr>
              <w:spacing w:before="0" w:after="0" w:line="240" w:lineRule="auto"/>
              <w:jc w:val="center"/>
              <w:rPr>
                <w:rFonts w:ascii="Calibri" w:hAnsi="Calibri" w:cs="Calibri"/>
                <w:b/>
                <w:bCs/>
                <w:color w:val="FFFFFF"/>
                <w:sz w:val="16"/>
                <w:szCs w:val="16"/>
                <w:lang w:val="en-US" w:eastAsia="en-US"/>
              </w:rPr>
            </w:pPr>
            <w:r w:rsidRPr="00542D45">
              <w:rPr>
                <w:rFonts w:ascii="Calibri" w:hAnsi="Calibri" w:cs="Calibri"/>
                <w:b/>
                <w:bCs/>
                <w:sz w:val="16"/>
                <w:szCs w:val="16"/>
                <w:lang w:val="en-US" w:eastAsia="en-US"/>
              </w:rPr>
              <w:t>Rationale/</w:t>
            </w:r>
            <w:r>
              <w:rPr>
                <w:rFonts w:ascii="Calibri" w:hAnsi="Calibri" w:cs="Calibri"/>
                <w:b/>
                <w:bCs/>
                <w:sz w:val="16"/>
                <w:szCs w:val="16"/>
                <w:lang w:val="en-US" w:eastAsia="en-US"/>
              </w:rPr>
              <w:t xml:space="preserve"> </w:t>
            </w:r>
            <w:r w:rsidRPr="00542D45">
              <w:rPr>
                <w:rFonts w:ascii="Calibri" w:hAnsi="Calibri" w:cs="Calibri"/>
                <w:b/>
                <w:bCs/>
                <w:sz w:val="16"/>
                <w:szCs w:val="16"/>
                <w:lang w:val="en-US" w:eastAsia="en-US"/>
              </w:rPr>
              <w:t>alternative</w:t>
            </w:r>
          </w:p>
        </w:tc>
      </w:tr>
      <w:tr w:rsidR="00542D45" w:rsidRPr="001D7D6C" w14:paraId="6EB9AA12" w14:textId="3DFBF14C" w:rsidTr="00E80B6C">
        <w:trPr>
          <w:trHeight w:val="57"/>
        </w:trPr>
        <w:tc>
          <w:tcPr>
            <w:tcW w:w="819" w:type="dxa"/>
            <w:shd w:val="clear" w:color="auto" w:fill="auto"/>
            <w:vAlign w:val="center"/>
          </w:tcPr>
          <w:p w14:paraId="00937658" w14:textId="77777777" w:rsidR="00542D45" w:rsidRPr="001D7D6C" w:rsidRDefault="00542D45" w:rsidP="00542D45">
            <w:pPr>
              <w:spacing w:before="0" w:after="0" w:line="240" w:lineRule="auto"/>
              <w:jc w:val="left"/>
              <w:rPr>
                <w:rFonts w:ascii="Calibri" w:hAnsi="Calibri" w:cs="Calibri"/>
                <w:b/>
                <w:bCs/>
                <w:color w:val="FFFFFF"/>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auto"/>
            <w:vAlign w:val="center"/>
          </w:tcPr>
          <w:p w14:paraId="342FADAA" w14:textId="77777777" w:rsidR="00542D45" w:rsidRPr="001D7D6C" w:rsidRDefault="00542D45" w:rsidP="00542D45">
            <w:pPr>
              <w:spacing w:before="0" w:after="0" w:line="240" w:lineRule="auto"/>
              <w:jc w:val="left"/>
              <w:rPr>
                <w:rFonts w:ascii="Calibri" w:hAnsi="Calibri" w:cs="Calibri"/>
                <w:b/>
                <w:bCs/>
                <w:color w:val="FFFFFF"/>
                <w:sz w:val="16"/>
                <w:szCs w:val="16"/>
                <w:lang w:val="en-US" w:eastAsia="en-US"/>
              </w:rPr>
            </w:pPr>
            <w:r w:rsidRPr="001D7D6C">
              <w:rPr>
                <w:rFonts w:ascii="Calibri" w:hAnsi="Calibri" w:cs="Calibri"/>
                <w:sz w:val="16"/>
                <w:szCs w:val="16"/>
                <w:lang w:val="en-US" w:eastAsia="en-US"/>
              </w:rPr>
              <w:t>Not from concentrate juice</w:t>
            </w:r>
          </w:p>
        </w:tc>
        <w:tc>
          <w:tcPr>
            <w:tcW w:w="1186" w:type="dxa"/>
            <w:shd w:val="clear" w:color="auto" w:fill="auto"/>
            <w:vAlign w:val="center"/>
          </w:tcPr>
          <w:p w14:paraId="2426263B" w14:textId="77777777" w:rsidR="00542D45" w:rsidRPr="001D7D6C" w:rsidRDefault="00542D45" w:rsidP="00542D45">
            <w:pPr>
              <w:spacing w:before="0" w:after="0" w:line="240" w:lineRule="auto"/>
              <w:jc w:val="left"/>
              <w:rPr>
                <w:rFonts w:ascii="Calibri" w:hAnsi="Calibri" w:cs="Calibri"/>
                <w:b/>
                <w:bCs/>
                <w:color w:val="FFFFFF"/>
                <w:sz w:val="16"/>
                <w:szCs w:val="16"/>
                <w:lang w:val="en-US" w:eastAsia="en-US"/>
              </w:rPr>
            </w:pPr>
            <w:r w:rsidRPr="001D7D6C">
              <w:rPr>
                <w:rFonts w:ascii="Calibri" w:hAnsi="Calibri" w:cs="Calibri"/>
                <w:sz w:val="16"/>
                <w:szCs w:val="16"/>
                <w:lang w:val="en-US" w:eastAsia="en-US"/>
              </w:rPr>
              <w:t>Conventional</w:t>
            </w:r>
          </w:p>
        </w:tc>
        <w:tc>
          <w:tcPr>
            <w:tcW w:w="3350" w:type="dxa"/>
            <w:shd w:val="clear" w:color="auto" w:fill="auto"/>
            <w:vAlign w:val="center"/>
          </w:tcPr>
          <w:p w14:paraId="669571BF" w14:textId="77777777" w:rsidR="00542D45" w:rsidRPr="001D7D6C" w:rsidRDefault="00542D45" w:rsidP="00542D45">
            <w:pPr>
              <w:spacing w:before="0" w:after="0" w:line="240" w:lineRule="auto"/>
              <w:jc w:val="left"/>
              <w:rPr>
                <w:rFonts w:ascii="Calibri" w:hAnsi="Calibri" w:cs="Calibri"/>
                <w:b/>
                <w:bCs/>
                <w:color w:val="FFFFFF"/>
                <w:sz w:val="16"/>
                <w:szCs w:val="16"/>
                <w:lang w:val="en-US" w:eastAsia="en-US"/>
              </w:rPr>
            </w:pPr>
            <w:r w:rsidRPr="001D7D6C">
              <w:rPr>
                <w:rFonts w:ascii="Calibri" w:hAnsi="Calibri" w:cs="Calibri"/>
                <w:sz w:val="16"/>
                <w:szCs w:val="16"/>
                <w:lang w:val="en-US" w:eastAsia="en-US"/>
              </w:rPr>
              <w:t>Worldwide</w:t>
            </w:r>
          </w:p>
        </w:tc>
        <w:tc>
          <w:tcPr>
            <w:tcW w:w="586" w:type="dxa"/>
            <w:shd w:val="clear" w:color="auto" w:fill="auto"/>
            <w:vAlign w:val="center"/>
          </w:tcPr>
          <w:p w14:paraId="52C07F88" w14:textId="77777777" w:rsidR="00542D45" w:rsidRPr="001D7D6C" w:rsidRDefault="00542D45" w:rsidP="00542D45">
            <w:pPr>
              <w:spacing w:before="0" w:after="0" w:line="240" w:lineRule="auto"/>
              <w:jc w:val="center"/>
              <w:rPr>
                <w:rFonts w:ascii="Calibri" w:hAnsi="Calibri" w:cs="Calibri"/>
                <w:b/>
                <w:bCs/>
                <w:color w:val="FFFFFF"/>
                <w:sz w:val="16"/>
                <w:szCs w:val="16"/>
                <w:lang w:val="en-US" w:eastAsia="en-US"/>
              </w:rPr>
            </w:pPr>
            <w:r w:rsidRPr="001D7D6C">
              <w:rPr>
                <w:rFonts w:ascii="Calibri" w:hAnsi="Calibri" w:cs="Calibri"/>
                <w:sz w:val="16"/>
                <w:szCs w:val="16"/>
                <w:lang w:val="en-US" w:eastAsia="en-US"/>
              </w:rPr>
              <w:t>FOB</w:t>
            </w:r>
          </w:p>
        </w:tc>
        <w:tc>
          <w:tcPr>
            <w:tcW w:w="1115" w:type="dxa"/>
            <w:shd w:val="clear" w:color="auto" w:fill="auto"/>
            <w:vAlign w:val="center"/>
          </w:tcPr>
          <w:p w14:paraId="3ECB51CC" w14:textId="77777777" w:rsidR="00542D45" w:rsidRPr="001D7D6C" w:rsidRDefault="00542D45" w:rsidP="00542D45">
            <w:pPr>
              <w:spacing w:before="0" w:after="0" w:line="240" w:lineRule="auto"/>
              <w:jc w:val="center"/>
              <w:rPr>
                <w:rFonts w:ascii="Calibri" w:hAnsi="Calibri" w:cs="Calibri"/>
                <w:b/>
                <w:bCs/>
                <w:color w:val="FFFFFF"/>
                <w:sz w:val="16"/>
                <w:szCs w:val="16"/>
                <w:lang w:val="en-US" w:eastAsia="en-US"/>
              </w:rPr>
            </w:pPr>
            <w:r>
              <w:rPr>
                <w:rFonts w:ascii="Calibri" w:hAnsi="Calibri" w:cs="Calibri"/>
                <w:sz w:val="16"/>
                <w:szCs w:val="16"/>
                <w:lang w:val="en-US" w:eastAsia="en-US"/>
              </w:rPr>
              <w:t>1733</w:t>
            </w:r>
          </w:p>
        </w:tc>
        <w:tc>
          <w:tcPr>
            <w:tcW w:w="992" w:type="dxa"/>
            <w:shd w:val="clear" w:color="auto" w:fill="FFFFFF" w:themeFill="background1"/>
            <w:vAlign w:val="center"/>
          </w:tcPr>
          <w:p w14:paraId="190DDC19" w14:textId="6B02F4EB" w:rsidR="00542D45" w:rsidRPr="001D7D6C" w:rsidRDefault="00542D45" w:rsidP="00542D45">
            <w:pPr>
              <w:spacing w:before="0" w:after="0" w:line="240" w:lineRule="auto"/>
              <w:jc w:val="center"/>
              <w:rPr>
                <w:rFonts w:ascii="Calibri" w:hAnsi="Calibri" w:cs="Calibri"/>
                <w:b/>
                <w:bCs/>
                <w:color w:val="FFFFFF"/>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43C16E85" w14:textId="6B7AD6B3" w:rsidR="00542D45" w:rsidRPr="001D7D6C" w:rsidRDefault="00542D45" w:rsidP="00542D45">
            <w:pPr>
              <w:spacing w:before="0" w:after="0" w:line="240" w:lineRule="auto"/>
              <w:jc w:val="center"/>
              <w:rPr>
                <w:rFonts w:ascii="Calibri" w:hAnsi="Calibri" w:cs="Calibri"/>
                <w:b/>
                <w:bCs/>
                <w:color w:val="FFFFFF"/>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0564B94B" w14:textId="07843F91" w:rsidR="00542D45" w:rsidRPr="001D7D6C" w:rsidRDefault="00542D45" w:rsidP="00542D45">
            <w:pPr>
              <w:spacing w:before="0" w:after="0" w:line="240" w:lineRule="auto"/>
              <w:jc w:val="center"/>
              <w:rPr>
                <w:rFonts w:ascii="Calibri" w:hAnsi="Calibri" w:cs="Calibri"/>
                <w:b/>
                <w:bCs/>
                <w:color w:val="FFFFFF"/>
                <w:sz w:val="16"/>
                <w:szCs w:val="16"/>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r w:rsidR="00542D45" w:rsidRPr="001D7D6C" w14:paraId="65213F0E" w14:textId="04252D12" w:rsidTr="00E80B6C">
        <w:trPr>
          <w:trHeight w:val="57"/>
        </w:trPr>
        <w:tc>
          <w:tcPr>
            <w:tcW w:w="819" w:type="dxa"/>
            <w:shd w:val="clear" w:color="auto" w:fill="FFF2CC" w:themeFill="accent4" w:themeFillTint="33"/>
            <w:vAlign w:val="center"/>
          </w:tcPr>
          <w:p w14:paraId="63BE78DC" w14:textId="77777777" w:rsidR="00542D45" w:rsidRPr="001D7D6C" w:rsidRDefault="00542D45" w:rsidP="00542D45">
            <w:pPr>
              <w:spacing w:before="0" w:after="0" w:line="240" w:lineRule="auto"/>
              <w:jc w:val="left"/>
              <w:rPr>
                <w:rFonts w:ascii="Calibri" w:hAnsi="Calibri" w:cs="Calibri"/>
                <w:b/>
                <w:bCs/>
                <w:sz w:val="16"/>
                <w:szCs w:val="16"/>
                <w:lang w:val="en-US" w:eastAsia="en-US"/>
              </w:rPr>
            </w:pPr>
            <w:r w:rsidRPr="001D7D6C">
              <w:rPr>
                <w:rFonts w:ascii="Calibri" w:hAnsi="Calibri" w:cs="Calibri"/>
                <w:b/>
                <w:bCs/>
                <w:sz w:val="16"/>
                <w:szCs w:val="16"/>
                <w:lang w:val="en-US" w:eastAsia="en-US"/>
              </w:rPr>
              <w:t>Limes</w:t>
            </w:r>
          </w:p>
        </w:tc>
        <w:tc>
          <w:tcPr>
            <w:tcW w:w="2011" w:type="dxa"/>
            <w:shd w:val="clear" w:color="auto" w:fill="FFF2CC" w:themeFill="accent4" w:themeFillTint="33"/>
            <w:vAlign w:val="center"/>
          </w:tcPr>
          <w:p w14:paraId="1D2F87BC"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Not from concentrate juice</w:t>
            </w:r>
          </w:p>
        </w:tc>
        <w:tc>
          <w:tcPr>
            <w:tcW w:w="1186" w:type="dxa"/>
            <w:shd w:val="clear" w:color="auto" w:fill="FFF2CC" w:themeFill="accent4" w:themeFillTint="33"/>
            <w:vAlign w:val="center"/>
          </w:tcPr>
          <w:p w14:paraId="4376FBC8"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Theme="minorHAnsi" w:hAnsiTheme="minorHAnsi" w:cstheme="minorHAnsi"/>
                <w:sz w:val="16"/>
                <w:szCs w:val="16"/>
              </w:rPr>
              <w:t>Organic</w:t>
            </w:r>
          </w:p>
        </w:tc>
        <w:tc>
          <w:tcPr>
            <w:tcW w:w="3350" w:type="dxa"/>
            <w:shd w:val="clear" w:color="auto" w:fill="FFF2CC" w:themeFill="accent4" w:themeFillTint="33"/>
            <w:vAlign w:val="center"/>
          </w:tcPr>
          <w:p w14:paraId="46A6023F" w14:textId="77777777" w:rsidR="00542D45" w:rsidRPr="001D7D6C" w:rsidRDefault="00542D45" w:rsidP="00542D45">
            <w:pPr>
              <w:spacing w:before="0" w:after="0" w:line="240" w:lineRule="auto"/>
              <w:jc w:val="left"/>
              <w:rPr>
                <w:rFonts w:ascii="Calibri" w:hAnsi="Calibri" w:cs="Calibri"/>
                <w:sz w:val="16"/>
                <w:szCs w:val="16"/>
                <w:lang w:val="en-US" w:eastAsia="en-US"/>
              </w:rPr>
            </w:pPr>
            <w:r w:rsidRPr="001D7D6C">
              <w:rPr>
                <w:rFonts w:ascii="Calibri" w:hAnsi="Calibri" w:cs="Calibri"/>
                <w:sz w:val="16"/>
                <w:szCs w:val="16"/>
                <w:lang w:val="en-US" w:eastAsia="en-US"/>
              </w:rPr>
              <w:t>Worldwide</w:t>
            </w:r>
          </w:p>
        </w:tc>
        <w:tc>
          <w:tcPr>
            <w:tcW w:w="586" w:type="dxa"/>
            <w:shd w:val="clear" w:color="auto" w:fill="FFF2CC" w:themeFill="accent4" w:themeFillTint="33"/>
            <w:vAlign w:val="center"/>
          </w:tcPr>
          <w:p w14:paraId="44C79F7F" w14:textId="77777777" w:rsidR="00542D45" w:rsidRPr="001D7D6C" w:rsidRDefault="00542D45" w:rsidP="00542D45">
            <w:pPr>
              <w:spacing w:before="0" w:after="0" w:line="240" w:lineRule="auto"/>
              <w:jc w:val="center"/>
              <w:rPr>
                <w:rFonts w:ascii="Calibri" w:hAnsi="Calibri" w:cs="Calibri"/>
                <w:sz w:val="16"/>
                <w:szCs w:val="16"/>
                <w:lang w:val="en-US" w:eastAsia="en-US"/>
              </w:rPr>
            </w:pPr>
            <w:r w:rsidRPr="001D7D6C">
              <w:rPr>
                <w:rFonts w:asciiTheme="minorHAnsi" w:hAnsiTheme="minorHAnsi" w:cstheme="minorHAnsi"/>
                <w:sz w:val="16"/>
                <w:szCs w:val="16"/>
              </w:rPr>
              <w:t>FOB</w:t>
            </w:r>
          </w:p>
        </w:tc>
        <w:tc>
          <w:tcPr>
            <w:tcW w:w="1115" w:type="dxa"/>
            <w:shd w:val="clear" w:color="auto" w:fill="FFF2CC" w:themeFill="accent4" w:themeFillTint="33"/>
            <w:vAlign w:val="center"/>
          </w:tcPr>
          <w:p w14:paraId="321E0A13" w14:textId="77777777" w:rsidR="00542D45" w:rsidRPr="001D7D6C" w:rsidRDefault="00542D45" w:rsidP="00542D45">
            <w:pPr>
              <w:spacing w:before="0" w:after="0" w:line="240" w:lineRule="auto"/>
              <w:jc w:val="center"/>
              <w:rPr>
                <w:rFonts w:ascii="Calibri" w:hAnsi="Calibri" w:cs="Calibri"/>
                <w:sz w:val="16"/>
                <w:szCs w:val="16"/>
                <w:lang w:val="en-US" w:eastAsia="en-US"/>
              </w:rPr>
            </w:pPr>
            <w:r>
              <w:rPr>
                <w:rFonts w:ascii="Calibri" w:hAnsi="Calibri" w:cs="Calibri"/>
                <w:sz w:val="16"/>
                <w:szCs w:val="16"/>
                <w:lang w:val="en-US" w:eastAsia="en-US"/>
              </w:rPr>
              <w:t>2093</w:t>
            </w:r>
          </w:p>
        </w:tc>
        <w:tc>
          <w:tcPr>
            <w:tcW w:w="992" w:type="dxa"/>
            <w:shd w:val="clear" w:color="auto" w:fill="FFFFFF" w:themeFill="background1"/>
            <w:vAlign w:val="center"/>
          </w:tcPr>
          <w:p w14:paraId="457538A5" w14:textId="1F385738"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1362" w:type="dxa"/>
            <w:shd w:val="clear" w:color="auto" w:fill="FFFFFF" w:themeFill="background1"/>
            <w:vAlign w:val="center"/>
          </w:tcPr>
          <w:p w14:paraId="3D0ADF31" w14:textId="4F76B3F1" w:rsidR="00542D45" w:rsidRPr="001D7D6C" w:rsidRDefault="00542D45" w:rsidP="00542D45">
            <w:pPr>
              <w:spacing w:before="0" w:after="0" w:line="240" w:lineRule="auto"/>
              <w:jc w:val="center"/>
              <w:rPr>
                <w:rFonts w:ascii="Calibri" w:hAnsi="Calibri" w:cs="Calibri"/>
                <w:sz w:val="16"/>
                <w:szCs w:val="16"/>
                <w:lang w:val="en-US" w:eastAsia="en-US"/>
              </w:rPr>
            </w:pPr>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p>
        </w:tc>
        <w:tc>
          <w:tcPr>
            <w:tcW w:w="3032" w:type="dxa"/>
            <w:shd w:val="clear" w:color="auto" w:fill="FFFFFF" w:themeFill="background1"/>
            <w:vAlign w:val="center"/>
          </w:tcPr>
          <w:p w14:paraId="213EAF35" w14:textId="1B866AC2" w:rsidR="00542D45" w:rsidRPr="001D7D6C" w:rsidRDefault="00542D45" w:rsidP="00542D45">
            <w:pPr>
              <w:spacing w:before="0" w:after="0" w:line="240" w:lineRule="auto"/>
              <w:jc w:val="center"/>
              <w:rPr>
                <w:rFonts w:ascii="Calibri" w:hAnsi="Calibri" w:cs="Calibri"/>
                <w:sz w:val="16"/>
                <w:szCs w:val="16"/>
                <w:lang w:val="en-US" w:eastAsia="en-US"/>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0079784C">
              <w:rPr>
                <w:noProof/>
                <w:sz w:val="18"/>
                <w:szCs w:val="18"/>
              </w:rPr>
              <w:t> </w:t>
            </w:r>
            <w:r w:rsidRPr="00FE45CA">
              <w:rPr>
                <w:sz w:val="18"/>
                <w:szCs w:val="18"/>
              </w:rPr>
              <w:fldChar w:fldCharType="end"/>
            </w:r>
          </w:p>
        </w:tc>
      </w:tr>
    </w:tbl>
    <w:p w14:paraId="47C49979" w14:textId="2AA2E3A1" w:rsidR="00883FDD" w:rsidRDefault="00883FDD">
      <w:pPr>
        <w:spacing w:before="0" w:after="0" w:line="240" w:lineRule="auto"/>
        <w:jc w:val="left"/>
      </w:pPr>
    </w:p>
    <w:p w14:paraId="3CF934AB" w14:textId="3F6663F4" w:rsidR="00542D45" w:rsidRDefault="00542D45">
      <w:pPr>
        <w:spacing w:before="0" w:after="0" w:line="240" w:lineRule="auto"/>
        <w:jc w:val="left"/>
      </w:pPr>
    </w:p>
    <w:p w14:paraId="56156DB1" w14:textId="0F1E0847" w:rsidR="00542D45" w:rsidRDefault="00542D45">
      <w:pPr>
        <w:spacing w:before="0" w:after="0" w:line="240" w:lineRule="auto"/>
        <w:jc w:val="left"/>
      </w:pPr>
    </w:p>
    <w:p w14:paraId="464F5A9A" w14:textId="77777777" w:rsidR="00542D45" w:rsidRDefault="00542D45">
      <w:pPr>
        <w:spacing w:before="0" w:after="0" w:line="240" w:lineRule="auto"/>
        <w:jc w:val="left"/>
        <w:sectPr w:rsidR="00542D45" w:rsidSect="00542D45">
          <w:pgSz w:w="16834" w:h="11909" w:orient="landscape" w:code="9"/>
          <w:pgMar w:top="1440" w:right="1440" w:bottom="1440" w:left="899" w:header="288" w:footer="288" w:gutter="0"/>
          <w:cols w:space="720"/>
          <w:docGrid w:linePitch="360"/>
        </w:sectPr>
      </w:pPr>
    </w:p>
    <w:p w14:paraId="36D2465D" w14:textId="77777777" w:rsidR="00542D45" w:rsidRDefault="00542D45" w:rsidP="00542D45">
      <w:pPr>
        <w:spacing w:before="0" w:after="0" w:line="240" w:lineRule="auto"/>
        <w:jc w:val="left"/>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542D45" w14:paraId="73DCF89E" w14:textId="77777777" w:rsidTr="00542D45">
        <w:tc>
          <w:tcPr>
            <w:tcW w:w="9322" w:type="dxa"/>
            <w:shd w:val="clear" w:color="auto" w:fill="auto"/>
          </w:tcPr>
          <w:p w14:paraId="3BE2227F" w14:textId="5BEB0E92" w:rsidR="00542D45" w:rsidRPr="00621FA1" w:rsidRDefault="00542D45" w:rsidP="00542D45">
            <w:pPr>
              <w:pStyle w:val="Caption"/>
              <w:spacing w:before="0" w:after="0" w:line="360" w:lineRule="auto"/>
            </w:pPr>
            <w:r w:rsidRPr="00FE45CA">
              <w:t xml:space="preserve">Question </w:t>
            </w:r>
            <w:r w:rsidRPr="00FE45CA">
              <w:fldChar w:fldCharType="begin"/>
            </w:r>
            <w:r w:rsidRPr="00FE45CA">
              <w:instrText xml:space="preserve"> SEQ Question \* ARABIC </w:instrText>
            </w:r>
            <w:r w:rsidRPr="00FE45CA">
              <w:fldChar w:fldCharType="separate"/>
            </w:r>
            <w:r w:rsidR="00956D02">
              <w:rPr>
                <w:noProof/>
              </w:rPr>
              <w:t>6</w:t>
            </w:r>
            <w:r w:rsidRPr="00FE45CA">
              <w:fldChar w:fldCharType="end"/>
            </w:r>
          </w:p>
          <w:p w14:paraId="6D522B44" w14:textId="38CC6A69" w:rsidR="00542D45" w:rsidRPr="00621FA1" w:rsidRDefault="00542D45" w:rsidP="00542D45">
            <w:pPr>
              <w:spacing w:before="0" w:after="0"/>
            </w:pPr>
            <w:r w:rsidRPr="00621FA1">
              <w:t>D</w:t>
            </w:r>
            <w:r w:rsidR="00621FA1">
              <w:t>o</w:t>
            </w:r>
            <w:r w:rsidRPr="00621FA1">
              <w:t xml:space="preserve"> you agree with the FP proposed for fresh limes as 0.12 USD per kg of limes?</w:t>
            </w:r>
          </w:p>
          <w:p w14:paraId="1D16E0F3" w14:textId="286E02FC" w:rsidR="00542D45" w:rsidRDefault="00542D45" w:rsidP="00542D45">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t>Yes</w:t>
            </w:r>
            <w:r w:rsidRPr="000617F0">
              <w:t xml:space="preserve"> </w:t>
            </w:r>
          </w:p>
          <w:p w14:paraId="4D81AFEA" w14:textId="4970C9B0" w:rsidR="00542D45" w:rsidRPr="000617F0" w:rsidRDefault="00542D45" w:rsidP="00542D45">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t xml:space="preserve"> No, alternative: </w:t>
            </w: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FE45CA">
              <w:rPr>
                <w:sz w:val="18"/>
                <w:szCs w:val="18"/>
              </w:rPr>
              <w:fldChar w:fldCharType="end"/>
            </w:r>
          </w:p>
          <w:p w14:paraId="674262E9" w14:textId="31D5B2D1" w:rsidR="00542D45" w:rsidRDefault="00542D45" w:rsidP="00542D45">
            <w:pPr>
              <w:spacing w:before="0" w:after="0"/>
            </w:pPr>
            <w:r w:rsidRPr="000617F0">
              <w:t>Rationale of your answer:</w:t>
            </w:r>
            <w:r w:rsidRPr="00FE45CA">
              <w:rPr>
                <w:sz w:val="18"/>
                <w:szCs w:val="18"/>
              </w:rPr>
              <w:t xml:space="preserve"> </w:t>
            </w: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FE45CA">
              <w:rPr>
                <w:sz w:val="18"/>
                <w:szCs w:val="18"/>
              </w:rPr>
              <w:fldChar w:fldCharType="end"/>
            </w:r>
          </w:p>
          <w:p w14:paraId="0452B456" w14:textId="6B5998A8" w:rsidR="00542D45" w:rsidRPr="00FE45CA" w:rsidRDefault="00542D45" w:rsidP="00542D45">
            <w:pPr>
              <w:spacing w:before="0" w:after="0"/>
              <w:rPr>
                <w:u w:val="single"/>
              </w:rPr>
            </w:pPr>
          </w:p>
        </w:tc>
      </w:tr>
    </w:tbl>
    <w:p w14:paraId="19653A15" w14:textId="790E39E7" w:rsidR="00542D45" w:rsidRDefault="00542D45" w:rsidP="00542D45">
      <w:pPr>
        <w:spacing w:before="0" w:after="0" w:line="240" w:lineRule="auto"/>
        <w:jc w:val="left"/>
      </w:pPr>
    </w:p>
    <w:p w14:paraId="2EE9D822" w14:textId="77777777" w:rsidR="0079784C" w:rsidRDefault="0079784C" w:rsidP="0079784C">
      <w:pPr>
        <w:spacing w:before="0" w:after="0" w:line="240" w:lineRule="auto"/>
        <w:jc w:val="left"/>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79784C" w:rsidRPr="00621FA1" w14:paraId="73EC75A3" w14:textId="77777777" w:rsidTr="0079784C">
        <w:tc>
          <w:tcPr>
            <w:tcW w:w="9322" w:type="dxa"/>
            <w:shd w:val="clear" w:color="auto" w:fill="auto"/>
          </w:tcPr>
          <w:p w14:paraId="5C156984" w14:textId="7733DF5B" w:rsidR="0079784C" w:rsidRPr="00621FA1" w:rsidRDefault="0079784C" w:rsidP="0079784C">
            <w:pPr>
              <w:pStyle w:val="Caption"/>
              <w:spacing w:before="0" w:after="0" w:line="360" w:lineRule="auto"/>
            </w:pPr>
            <w:r w:rsidRPr="00621FA1">
              <w:t xml:space="preserve">Question </w:t>
            </w:r>
            <w:r w:rsidRPr="00621FA1">
              <w:fldChar w:fldCharType="begin"/>
            </w:r>
            <w:r w:rsidRPr="00621FA1">
              <w:instrText xml:space="preserve"> SEQ Question \* ARABIC </w:instrText>
            </w:r>
            <w:r w:rsidRPr="00621FA1">
              <w:fldChar w:fldCharType="separate"/>
            </w:r>
            <w:r w:rsidR="00956D02">
              <w:rPr>
                <w:noProof/>
              </w:rPr>
              <w:t>7</w:t>
            </w:r>
            <w:r w:rsidRPr="00621FA1">
              <w:fldChar w:fldCharType="end"/>
            </w:r>
          </w:p>
          <w:p w14:paraId="3C7DCCA3" w14:textId="74A76DE5" w:rsidR="0079784C" w:rsidRPr="00621FA1" w:rsidRDefault="0079784C" w:rsidP="0079784C">
            <w:pPr>
              <w:spacing w:before="0" w:after="0"/>
            </w:pPr>
            <w:r w:rsidRPr="00621FA1">
              <w:t>Do you agree with</w:t>
            </w:r>
            <w:r>
              <w:t xml:space="preserve"> the maintenance of</w:t>
            </w:r>
            <w:r w:rsidRPr="00621FA1">
              <w:t xml:space="preserve"> the FP proposed for lime</w:t>
            </w:r>
            <w:r>
              <w:t>s for processing as 15% of the commercial price at the EXW level</w:t>
            </w:r>
            <w:r w:rsidRPr="00621FA1">
              <w:t>?</w:t>
            </w:r>
          </w:p>
          <w:p w14:paraId="41206155" w14:textId="77777777" w:rsidR="0079784C" w:rsidRPr="00621FA1" w:rsidRDefault="0079784C" w:rsidP="0079784C">
            <w:r w:rsidRPr="00621FA1">
              <w:fldChar w:fldCharType="begin">
                <w:ffData>
                  <w:name w:val="Check1"/>
                  <w:enabled/>
                  <w:calcOnExit w:val="0"/>
                  <w:checkBox>
                    <w:sizeAuto/>
                    <w:default w:val="0"/>
                  </w:checkBox>
                </w:ffData>
              </w:fldChar>
            </w:r>
            <w:r w:rsidRPr="00621FA1">
              <w:instrText xml:space="preserve"> FORMCHECKBOX </w:instrText>
            </w:r>
            <w:r w:rsidR="00706B92">
              <w:fldChar w:fldCharType="separate"/>
            </w:r>
            <w:r w:rsidRPr="00621FA1">
              <w:fldChar w:fldCharType="end"/>
            </w:r>
            <w:r w:rsidRPr="00621FA1">
              <w:t xml:space="preserve"> Yes </w:t>
            </w:r>
          </w:p>
          <w:p w14:paraId="1242C4BC" w14:textId="2B44F63F" w:rsidR="0079784C" w:rsidRPr="00621FA1" w:rsidRDefault="0079784C" w:rsidP="0079784C">
            <w:r w:rsidRPr="00621FA1">
              <w:fldChar w:fldCharType="begin">
                <w:ffData>
                  <w:name w:val="Check1"/>
                  <w:enabled/>
                  <w:calcOnExit w:val="0"/>
                  <w:checkBox>
                    <w:sizeAuto/>
                    <w:default w:val="0"/>
                  </w:checkBox>
                </w:ffData>
              </w:fldChar>
            </w:r>
            <w:r w:rsidRPr="00621FA1">
              <w:instrText xml:space="preserve"> FORMCHECKBOX </w:instrText>
            </w:r>
            <w:r w:rsidR="00706B92">
              <w:fldChar w:fldCharType="separate"/>
            </w:r>
            <w:r w:rsidRPr="00621FA1">
              <w:fldChar w:fldCharType="end"/>
            </w:r>
            <w:r w:rsidRPr="00621FA1">
              <w:t xml:space="preserve"> No, alternative: </w:t>
            </w:r>
            <w:r w:rsidRPr="00621FA1">
              <w:rPr>
                <w:sz w:val="18"/>
                <w:szCs w:val="18"/>
              </w:rPr>
              <w:fldChar w:fldCharType="begin">
                <w:ffData>
                  <w:name w:val="Text3"/>
                  <w:enabled/>
                  <w:calcOnExit w:val="0"/>
                  <w:textInput/>
                </w:ffData>
              </w:fldChar>
            </w:r>
            <w:r w:rsidRPr="00621FA1">
              <w:rPr>
                <w:sz w:val="18"/>
                <w:szCs w:val="18"/>
              </w:rPr>
              <w:instrText xml:space="preserve"> FORMTEXT </w:instrText>
            </w:r>
            <w:r w:rsidRPr="00621FA1">
              <w:rPr>
                <w:sz w:val="18"/>
                <w:szCs w:val="18"/>
              </w:rPr>
            </w:r>
            <w:r w:rsidRPr="00621FA1">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621FA1">
              <w:rPr>
                <w:sz w:val="18"/>
                <w:szCs w:val="18"/>
              </w:rPr>
              <w:fldChar w:fldCharType="end"/>
            </w:r>
          </w:p>
          <w:p w14:paraId="26822562" w14:textId="29CAC9BE" w:rsidR="0079784C" w:rsidRPr="00621FA1" w:rsidRDefault="0079784C" w:rsidP="0079784C">
            <w:pPr>
              <w:spacing w:before="0" w:after="0"/>
            </w:pPr>
            <w:r w:rsidRPr="00621FA1">
              <w:t>Rationale of your answer:</w:t>
            </w:r>
            <w:r w:rsidRPr="00621FA1">
              <w:rPr>
                <w:sz w:val="18"/>
                <w:szCs w:val="18"/>
              </w:rPr>
              <w:t xml:space="preserve"> </w:t>
            </w:r>
            <w:r w:rsidRPr="00621FA1">
              <w:rPr>
                <w:sz w:val="18"/>
                <w:szCs w:val="18"/>
              </w:rPr>
              <w:fldChar w:fldCharType="begin">
                <w:ffData>
                  <w:name w:val="Text3"/>
                  <w:enabled/>
                  <w:calcOnExit w:val="0"/>
                  <w:textInput/>
                </w:ffData>
              </w:fldChar>
            </w:r>
            <w:r w:rsidRPr="00621FA1">
              <w:rPr>
                <w:sz w:val="18"/>
                <w:szCs w:val="18"/>
              </w:rPr>
              <w:instrText xml:space="preserve"> FORMTEXT </w:instrText>
            </w:r>
            <w:r w:rsidRPr="00621FA1">
              <w:rPr>
                <w:sz w:val="18"/>
                <w:szCs w:val="18"/>
              </w:rPr>
            </w:r>
            <w:r w:rsidRPr="00621FA1">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621FA1">
              <w:rPr>
                <w:sz w:val="18"/>
                <w:szCs w:val="18"/>
              </w:rPr>
              <w:fldChar w:fldCharType="end"/>
            </w:r>
          </w:p>
          <w:p w14:paraId="69E0E635" w14:textId="77777777" w:rsidR="0079784C" w:rsidRPr="00621FA1" w:rsidRDefault="0079784C" w:rsidP="0079784C">
            <w:pPr>
              <w:spacing w:before="0" w:after="0"/>
            </w:pPr>
          </w:p>
        </w:tc>
      </w:tr>
    </w:tbl>
    <w:p w14:paraId="31D04436" w14:textId="597805A2" w:rsidR="0079784C" w:rsidRDefault="0079784C" w:rsidP="00542D45">
      <w:pPr>
        <w:spacing w:before="0" w:after="0" w:line="240" w:lineRule="auto"/>
        <w:jc w:val="left"/>
      </w:pPr>
    </w:p>
    <w:p w14:paraId="262862F9" w14:textId="77777777" w:rsidR="0079784C" w:rsidRDefault="0079784C" w:rsidP="00542D45">
      <w:pPr>
        <w:spacing w:before="0" w:after="0" w:line="240" w:lineRule="auto"/>
        <w:jc w:val="left"/>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542D45" w:rsidRPr="00621FA1" w14:paraId="3A5F52CC" w14:textId="77777777" w:rsidTr="00542D45">
        <w:tc>
          <w:tcPr>
            <w:tcW w:w="9322" w:type="dxa"/>
            <w:shd w:val="clear" w:color="auto" w:fill="auto"/>
          </w:tcPr>
          <w:p w14:paraId="5B71FD03" w14:textId="561BBF49" w:rsidR="00542D45" w:rsidRPr="00621FA1" w:rsidRDefault="00542D45" w:rsidP="00542D45">
            <w:pPr>
              <w:pStyle w:val="Caption"/>
              <w:spacing w:before="0" w:after="0" w:line="360" w:lineRule="auto"/>
            </w:pPr>
            <w:r w:rsidRPr="00621FA1">
              <w:t xml:space="preserve">Question </w:t>
            </w:r>
            <w:r w:rsidRPr="00621FA1">
              <w:fldChar w:fldCharType="begin"/>
            </w:r>
            <w:r w:rsidRPr="00621FA1">
              <w:instrText xml:space="preserve"> SEQ Question \* ARABIC </w:instrText>
            </w:r>
            <w:r w:rsidRPr="00621FA1">
              <w:fldChar w:fldCharType="separate"/>
            </w:r>
            <w:r w:rsidR="00956D02">
              <w:rPr>
                <w:noProof/>
              </w:rPr>
              <w:t>8</w:t>
            </w:r>
            <w:r w:rsidRPr="00621FA1">
              <w:fldChar w:fldCharType="end"/>
            </w:r>
          </w:p>
          <w:p w14:paraId="3F043D92" w14:textId="47ED58D4" w:rsidR="00542D45" w:rsidRPr="00621FA1" w:rsidRDefault="00542D45" w:rsidP="00542D45">
            <w:pPr>
              <w:spacing w:before="0" w:after="0"/>
            </w:pPr>
            <w:r w:rsidRPr="00621FA1">
              <w:t>D</w:t>
            </w:r>
            <w:r w:rsidR="00621FA1" w:rsidRPr="00621FA1">
              <w:t>o</w:t>
            </w:r>
            <w:r w:rsidRPr="00621FA1">
              <w:t xml:space="preserve"> you agree with the FP proposed for lime juice as 300 USD per MT of juice?</w:t>
            </w:r>
          </w:p>
          <w:p w14:paraId="20BAEFF2" w14:textId="77777777" w:rsidR="00542D45" w:rsidRPr="00621FA1" w:rsidRDefault="00542D45" w:rsidP="00542D45">
            <w:r w:rsidRPr="00621FA1">
              <w:fldChar w:fldCharType="begin">
                <w:ffData>
                  <w:name w:val="Check1"/>
                  <w:enabled/>
                  <w:calcOnExit w:val="0"/>
                  <w:checkBox>
                    <w:sizeAuto/>
                    <w:default w:val="0"/>
                  </w:checkBox>
                </w:ffData>
              </w:fldChar>
            </w:r>
            <w:r w:rsidRPr="00621FA1">
              <w:instrText xml:space="preserve"> FORMCHECKBOX </w:instrText>
            </w:r>
            <w:r w:rsidR="00706B92">
              <w:fldChar w:fldCharType="separate"/>
            </w:r>
            <w:r w:rsidRPr="00621FA1">
              <w:fldChar w:fldCharType="end"/>
            </w:r>
            <w:r w:rsidRPr="00621FA1">
              <w:t xml:space="preserve"> Yes </w:t>
            </w:r>
          </w:p>
          <w:p w14:paraId="3E93CB97" w14:textId="12CC1C81" w:rsidR="00542D45" w:rsidRPr="00621FA1" w:rsidRDefault="00542D45" w:rsidP="00542D45">
            <w:r w:rsidRPr="00621FA1">
              <w:fldChar w:fldCharType="begin">
                <w:ffData>
                  <w:name w:val="Check1"/>
                  <w:enabled/>
                  <w:calcOnExit w:val="0"/>
                  <w:checkBox>
                    <w:sizeAuto/>
                    <w:default w:val="0"/>
                  </w:checkBox>
                </w:ffData>
              </w:fldChar>
            </w:r>
            <w:r w:rsidRPr="00621FA1">
              <w:instrText xml:space="preserve"> FORMCHECKBOX </w:instrText>
            </w:r>
            <w:r w:rsidR="00706B92">
              <w:fldChar w:fldCharType="separate"/>
            </w:r>
            <w:r w:rsidRPr="00621FA1">
              <w:fldChar w:fldCharType="end"/>
            </w:r>
            <w:r w:rsidRPr="00621FA1">
              <w:t xml:space="preserve"> No, alternative: </w:t>
            </w:r>
            <w:r w:rsidRPr="00621FA1">
              <w:rPr>
                <w:sz w:val="18"/>
                <w:szCs w:val="18"/>
              </w:rPr>
              <w:fldChar w:fldCharType="begin">
                <w:ffData>
                  <w:name w:val="Text3"/>
                  <w:enabled/>
                  <w:calcOnExit w:val="0"/>
                  <w:textInput/>
                </w:ffData>
              </w:fldChar>
            </w:r>
            <w:r w:rsidRPr="00621FA1">
              <w:rPr>
                <w:sz w:val="18"/>
                <w:szCs w:val="18"/>
              </w:rPr>
              <w:instrText xml:space="preserve"> FORMTEXT </w:instrText>
            </w:r>
            <w:r w:rsidRPr="00621FA1">
              <w:rPr>
                <w:sz w:val="18"/>
                <w:szCs w:val="18"/>
              </w:rPr>
            </w:r>
            <w:r w:rsidRPr="00621FA1">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621FA1">
              <w:rPr>
                <w:sz w:val="18"/>
                <w:szCs w:val="18"/>
              </w:rPr>
              <w:fldChar w:fldCharType="end"/>
            </w:r>
          </w:p>
          <w:p w14:paraId="46F62DEE" w14:textId="0DAFACB9" w:rsidR="00542D45" w:rsidRPr="00621FA1" w:rsidRDefault="00542D45" w:rsidP="00542D45">
            <w:pPr>
              <w:spacing w:before="0" w:after="0"/>
            </w:pPr>
            <w:r w:rsidRPr="00621FA1">
              <w:t>Rationale of your answer:</w:t>
            </w:r>
            <w:r w:rsidRPr="00621FA1">
              <w:rPr>
                <w:sz w:val="18"/>
                <w:szCs w:val="18"/>
              </w:rPr>
              <w:t xml:space="preserve"> </w:t>
            </w:r>
            <w:r w:rsidRPr="00621FA1">
              <w:rPr>
                <w:sz w:val="18"/>
                <w:szCs w:val="18"/>
              </w:rPr>
              <w:fldChar w:fldCharType="begin">
                <w:ffData>
                  <w:name w:val="Text3"/>
                  <w:enabled/>
                  <w:calcOnExit w:val="0"/>
                  <w:textInput/>
                </w:ffData>
              </w:fldChar>
            </w:r>
            <w:r w:rsidRPr="00621FA1">
              <w:rPr>
                <w:sz w:val="18"/>
                <w:szCs w:val="18"/>
              </w:rPr>
              <w:instrText xml:space="preserve"> FORMTEXT </w:instrText>
            </w:r>
            <w:r w:rsidRPr="00621FA1">
              <w:rPr>
                <w:sz w:val="18"/>
                <w:szCs w:val="18"/>
              </w:rPr>
            </w:r>
            <w:r w:rsidRPr="00621FA1">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621FA1">
              <w:rPr>
                <w:sz w:val="18"/>
                <w:szCs w:val="18"/>
              </w:rPr>
              <w:fldChar w:fldCharType="end"/>
            </w:r>
          </w:p>
          <w:p w14:paraId="6D4CE7A3" w14:textId="77777777" w:rsidR="00542D45" w:rsidRPr="00621FA1" w:rsidRDefault="00542D45" w:rsidP="00542D45">
            <w:pPr>
              <w:spacing w:before="0" w:after="0"/>
            </w:pPr>
          </w:p>
        </w:tc>
      </w:tr>
    </w:tbl>
    <w:p w14:paraId="2FAC64E4" w14:textId="2BC98887" w:rsidR="00542D45" w:rsidRDefault="00542D45">
      <w:pPr>
        <w:spacing w:before="0" w:after="0" w:line="240" w:lineRule="auto"/>
        <w:jc w:val="left"/>
      </w:pPr>
    </w:p>
    <w:p w14:paraId="6D875C10" w14:textId="715281A1" w:rsidR="00441C77" w:rsidRDefault="00441C77">
      <w:pPr>
        <w:spacing w:before="0" w:after="0" w:line="240" w:lineRule="auto"/>
        <w:jc w:val="left"/>
      </w:pPr>
    </w:p>
    <w:p w14:paraId="0543F6CD" w14:textId="72919B96" w:rsidR="00441C77" w:rsidRDefault="00F92CA0" w:rsidP="0079784C">
      <w:pPr>
        <w:pStyle w:val="Heading4"/>
      </w:pPr>
      <w:r>
        <w:t>Harmonization of</w:t>
      </w:r>
      <w:r w:rsidR="00441C77" w:rsidRPr="00F92CA0">
        <w:t xml:space="preserve"> definition</w:t>
      </w:r>
      <w:r>
        <w:t xml:space="preserve"> of packed and FOB</w:t>
      </w:r>
      <w:r w:rsidR="00441C77" w:rsidRPr="00F92CA0">
        <w:t xml:space="preserve"> for limes:</w:t>
      </w:r>
    </w:p>
    <w:p w14:paraId="52B7D425" w14:textId="6FD1D426" w:rsidR="00441C77" w:rsidRDefault="00441C77" w:rsidP="00441C77">
      <w:pPr>
        <w:spacing w:before="0" w:after="0" w:line="240" w:lineRule="auto"/>
        <w:jc w:val="left"/>
      </w:pPr>
    </w:p>
    <w:p w14:paraId="58092B03" w14:textId="77777777" w:rsidR="00F92CA0" w:rsidRDefault="00F92CA0" w:rsidP="00F92CA0">
      <w:pPr>
        <w:spacing w:before="0" w:after="0"/>
        <w:jc w:val="left"/>
      </w:pPr>
      <w:r>
        <w:t>The form “</w:t>
      </w:r>
      <w:r w:rsidRPr="002F053C">
        <w:rPr>
          <w:b/>
        </w:rPr>
        <w:t>Packed</w:t>
      </w:r>
      <w:r>
        <w:t>” means:</w:t>
      </w:r>
    </w:p>
    <w:p w14:paraId="12556223" w14:textId="77777777" w:rsidR="009C44B0" w:rsidRDefault="009C44B0" w:rsidP="00F92CA0">
      <w:pPr>
        <w:spacing w:before="0" w:after="0"/>
        <w:jc w:val="left"/>
      </w:pPr>
    </w:p>
    <w:p w14:paraId="64EAD0D7" w14:textId="3EDD5101" w:rsidR="00F92CA0" w:rsidRPr="002F053C" w:rsidRDefault="009C44B0" w:rsidP="00F92CA0">
      <w:pPr>
        <w:spacing w:before="0" w:after="0"/>
        <w:jc w:val="left"/>
      </w:pPr>
      <w:r>
        <w:t>“</w:t>
      </w:r>
      <w:r w:rsidR="00F92CA0">
        <w:t>The p</w:t>
      </w:r>
      <w:r w:rsidR="00F92CA0" w:rsidRPr="002F053C">
        <w:t>ackaging</w:t>
      </w:r>
      <w:r w:rsidR="00F92CA0">
        <w:t xml:space="preserve"> of fresh limes</w:t>
      </w:r>
      <w:r w:rsidR="00F92CA0" w:rsidRPr="002F053C">
        <w:t xml:space="preserve"> is intended to withstand transportation and handling, and arrive at port of destination in the conditions according to the quality specifications agreed between the </w:t>
      </w:r>
      <w:r>
        <w:t>exporter</w:t>
      </w:r>
      <w:r w:rsidR="00F92CA0" w:rsidRPr="002F053C">
        <w:t xml:space="preserve"> and </w:t>
      </w:r>
      <w:r w:rsidR="00F92CA0">
        <w:t xml:space="preserve">the </w:t>
      </w:r>
      <w:r>
        <w:t>importer</w:t>
      </w:r>
      <w:r w:rsidR="00F92CA0" w:rsidRPr="002F053C">
        <w:t xml:space="preserve">. </w:t>
      </w:r>
    </w:p>
    <w:p w14:paraId="1F5AC311" w14:textId="77777777" w:rsidR="00F92CA0" w:rsidRPr="002F053C" w:rsidRDefault="00F92CA0" w:rsidP="00F92CA0">
      <w:pPr>
        <w:spacing w:before="0" w:after="0"/>
        <w:jc w:val="left"/>
      </w:pPr>
      <w:r w:rsidRPr="002F053C">
        <w:t xml:space="preserve">At FOB level, </w:t>
      </w:r>
      <w:r>
        <w:t xml:space="preserve">the packed </w:t>
      </w:r>
      <w:r w:rsidRPr="002F053C">
        <w:t>lime prices include the costs for the following packing materials:</w:t>
      </w:r>
    </w:p>
    <w:p w14:paraId="77FA196C" w14:textId="77777777" w:rsidR="00F92CA0" w:rsidRPr="002F053C" w:rsidRDefault="00F92CA0" w:rsidP="00F92CA0">
      <w:pPr>
        <w:spacing w:before="0" w:after="0"/>
        <w:jc w:val="left"/>
      </w:pPr>
      <w:r w:rsidRPr="002F053C">
        <w:t>• Cardboard boxes</w:t>
      </w:r>
    </w:p>
    <w:p w14:paraId="50AE318E" w14:textId="77777777" w:rsidR="00F92CA0" w:rsidRPr="002F053C" w:rsidRDefault="00F92CA0" w:rsidP="00F92CA0">
      <w:pPr>
        <w:spacing w:before="0" w:after="0"/>
        <w:jc w:val="left"/>
      </w:pPr>
      <w:r w:rsidRPr="002F053C">
        <w:t>• EUR-pallet</w:t>
      </w:r>
    </w:p>
    <w:p w14:paraId="45AFEF06" w14:textId="77777777" w:rsidR="00F92CA0" w:rsidRDefault="00F92CA0" w:rsidP="00F92CA0">
      <w:pPr>
        <w:spacing w:before="0" w:after="0"/>
        <w:jc w:val="left"/>
      </w:pPr>
      <w:r w:rsidRPr="002F053C">
        <w:t>• Materials for securing the Cardboard boxes in the EUR-pallet</w:t>
      </w:r>
    </w:p>
    <w:p w14:paraId="09719C3D" w14:textId="77777777" w:rsidR="00F92CA0" w:rsidRPr="002F053C" w:rsidRDefault="00F92CA0" w:rsidP="00F92CA0">
      <w:pPr>
        <w:spacing w:before="0" w:after="0"/>
        <w:jc w:val="left"/>
      </w:pPr>
    </w:p>
    <w:p w14:paraId="66838894" w14:textId="0AB428EF" w:rsidR="00F92CA0" w:rsidRPr="002F053C" w:rsidRDefault="00F92CA0" w:rsidP="00F92CA0">
      <w:pPr>
        <w:spacing w:before="0" w:after="0"/>
        <w:jc w:val="left"/>
      </w:pPr>
      <w:r>
        <w:lastRenderedPageBreak/>
        <w:t>T</w:t>
      </w:r>
      <w:r w:rsidRPr="002F053C">
        <w:t xml:space="preserve">he Ex Works </w:t>
      </w:r>
      <w:r>
        <w:t>and</w:t>
      </w:r>
      <w:r w:rsidRPr="002F053C">
        <w:t xml:space="preserve"> the FOB prices</w:t>
      </w:r>
      <w:r>
        <w:t xml:space="preserve"> do not</w:t>
      </w:r>
      <w:r w:rsidRPr="002F053C">
        <w:t xml:space="preserve"> include </w:t>
      </w:r>
      <w:r>
        <w:t xml:space="preserve">the </w:t>
      </w:r>
      <w:r w:rsidR="009C44B0">
        <w:t xml:space="preserve">costs for labelling the fruits and </w:t>
      </w:r>
      <w:r w:rsidRPr="002F053C">
        <w:t xml:space="preserve">additional packing materials. These additional materials and </w:t>
      </w:r>
      <w:r>
        <w:t xml:space="preserve">associated costs </w:t>
      </w:r>
      <w:r w:rsidRPr="002F053C">
        <w:t xml:space="preserve">should be </w:t>
      </w:r>
      <w:r>
        <w:t>agreed</w:t>
      </w:r>
      <w:r w:rsidRPr="002F053C">
        <w:t xml:space="preserve"> between the seller and </w:t>
      </w:r>
      <w:r>
        <w:t xml:space="preserve">the </w:t>
      </w:r>
      <w:r w:rsidRPr="002F053C">
        <w:t>buyer and described in the trade contract and product quality specifications.</w:t>
      </w:r>
      <w:r w:rsidR="009C44B0">
        <w:t>”</w:t>
      </w:r>
    </w:p>
    <w:p w14:paraId="5F1B8D59" w14:textId="77777777" w:rsidR="00F92CA0" w:rsidRDefault="00F92CA0" w:rsidP="00F92CA0">
      <w:pPr>
        <w:spacing w:before="0" w:after="0"/>
        <w:jc w:val="left"/>
      </w:pPr>
    </w:p>
    <w:p w14:paraId="3F0A8BA3" w14:textId="77777777" w:rsidR="00F92CA0" w:rsidRDefault="00F92CA0" w:rsidP="00F92CA0">
      <w:pPr>
        <w:spacing w:before="0" w:after="0"/>
        <w:jc w:val="left"/>
      </w:pPr>
      <w:r>
        <w:t>The definition above is proposed to be added to the guidance text of the requirement</w:t>
      </w:r>
      <w:r w:rsidRPr="002F053C">
        <w:t xml:space="preserve"> 4.2.1 of the Fresh Fruit Standards version 2.3 for Small Producer Organisations and 5.4.1 of the Fresh Fruit Standards version 2.2 for Hired Labour</w:t>
      </w:r>
      <w:r>
        <w:t>.</w:t>
      </w:r>
    </w:p>
    <w:p w14:paraId="129BD32B" w14:textId="570AC606" w:rsidR="00F92CA0" w:rsidRDefault="00F92CA0" w:rsidP="00F92CA0">
      <w:pPr>
        <w:spacing w:before="0" w:after="0"/>
        <w:jc w:val="left"/>
      </w:pPr>
    </w:p>
    <w:p w14:paraId="592526FC" w14:textId="77777777" w:rsidR="00F92CA0" w:rsidRDefault="00F92CA0" w:rsidP="00F92CA0">
      <w:pPr>
        <w:spacing w:before="0" w:after="0" w:line="240" w:lineRule="auto"/>
        <w:jc w:val="left"/>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F92CA0" w:rsidRPr="00621FA1" w14:paraId="5CC01420" w14:textId="77777777" w:rsidTr="0079784C">
        <w:tc>
          <w:tcPr>
            <w:tcW w:w="9322" w:type="dxa"/>
            <w:shd w:val="clear" w:color="auto" w:fill="auto"/>
          </w:tcPr>
          <w:p w14:paraId="015582C5" w14:textId="780DAD31" w:rsidR="00F92CA0" w:rsidRPr="00621FA1" w:rsidRDefault="00F92CA0" w:rsidP="0079784C">
            <w:pPr>
              <w:pStyle w:val="Caption"/>
              <w:spacing w:before="0" w:after="0" w:line="360" w:lineRule="auto"/>
            </w:pPr>
            <w:bookmarkStart w:id="15" w:name="_Ref49944684"/>
            <w:r w:rsidRPr="00621FA1">
              <w:t xml:space="preserve">Question </w:t>
            </w:r>
            <w:r w:rsidRPr="00621FA1">
              <w:fldChar w:fldCharType="begin"/>
            </w:r>
            <w:r w:rsidRPr="00621FA1">
              <w:instrText xml:space="preserve"> SEQ Question \* ARABIC </w:instrText>
            </w:r>
            <w:r w:rsidRPr="00621FA1">
              <w:fldChar w:fldCharType="separate"/>
            </w:r>
            <w:r w:rsidR="00956D02">
              <w:rPr>
                <w:noProof/>
              </w:rPr>
              <w:t>9</w:t>
            </w:r>
            <w:r w:rsidRPr="00621FA1">
              <w:fldChar w:fldCharType="end"/>
            </w:r>
            <w:bookmarkEnd w:id="15"/>
          </w:p>
          <w:p w14:paraId="3BCDA397" w14:textId="06E692B4" w:rsidR="00F92CA0" w:rsidRDefault="00F92CA0" w:rsidP="00F92CA0">
            <w:pPr>
              <w:spacing w:before="0" w:after="0"/>
              <w:jc w:val="left"/>
            </w:pPr>
            <w:r>
              <w:t>Do you agree with the definition of form “</w:t>
            </w:r>
            <w:r w:rsidRPr="002F053C">
              <w:rPr>
                <w:b/>
              </w:rPr>
              <w:t>Packed</w:t>
            </w:r>
            <w:r>
              <w:t>” for FOB prices</w:t>
            </w:r>
            <w:r w:rsidR="00224A55">
              <w:t xml:space="preserve"> for Limes</w:t>
            </w:r>
            <w:r>
              <w:t>?</w:t>
            </w:r>
          </w:p>
          <w:p w14:paraId="65DC027E" w14:textId="77777777" w:rsidR="00F92CA0" w:rsidRPr="00621FA1" w:rsidRDefault="00F92CA0" w:rsidP="0079784C">
            <w:r w:rsidRPr="00621FA1">
              <w:fldChar w:fldCharType="begin">
                <w:ffData>
                  <w:name w:val="Check1"/>
                  <w:enabled/>
                  <w:calcOnExit w:val="0"/>
                  <w:checkBox>
                    <w:sizeAuto/>
                    <w:default w:val="0"/>
                  </w:checkBox>
                </w:ffData>
              </w:fldChar>
            </w:r>
            <w:r w:rsidRPr="00621FA1">
              <w:instrText xml:space="preserve"> FORMCHECKBOX </w:instrText>
            </w:r>
            <w:r w:rsidR="00706B92">
              <w:fldChar w:fldCharType="separate"/>
            </w:r>
            <w:r w:rsidRPr="00621FA1">
              <w:fldChar w:fldCharType="end"/>
            </w:r>
            <w:r w:rsidRPr="00621FA1">
              <w:t xml:space="preserve"> Yes </w:t>
            </w:r>
          </w:p>
          <w:p w14:paraId="44587743" w14:textId="7108E618" w:rsidR="00F92CA0" w:rsidRPr="00621FA1" w:rsidRDefault="00F92CA0" w:rsidP="0079784C">
            <w:r w:rsidRPr="00621FA1">
              <w:fldChar w:fldCharType="begin">
                <w:ffData>
                  <w:name w:val="Check1"/>
                  <w:enabled/>
                  <w:calcOnExit w:val="0"/>
                  <w:checkBox>
                    <w:sizeAuto/>
                    <w:default w:val="0"/>
                  </w:checkBox>
                </w:ffData>
              </w:fldChar>
            </w:r>
            <w:r w:rsidRPr="00621FA1">
              <w:instrText xml:space="preserve"> FORMCHECKBOX </w:instrText>
            </w:r>
            <w:r w:rsidR="00706B92">
              <w:fldChar w:fldCharType="separate"/>
            </w:r>
            <w:r w:rsidRPr="00621FA1">
              <w:fldChar w:fldCharType="end"/>
            </w:r>
            <w:r w:rsidRPr="00621FA1">
              <w:t xml:space="preserve"> No, alternative</w:t>
            </w:r>
            <w:r w:rsidR="009C44B0">
              <w:t xml:space="preserve"> definition</w:t>
            </w:r>
            <w:r w:rsidRPr="00621FA1">
              <w:t xml:space="preserve">: </w:t>
            </w:r>
            <w:r w:rsidRPr="00621FA1">
              <w:rPr>
                <w:sz w:val="18"/>
                <w:szCs w:val="18"/>
              </w:rPr>
              <w:fldChar w:fldCharType="begin">
                <w:ffData>
                  <w:name w:val="Text3"/>
                  <w:enabled/>
                  <w:calcOnExit w:val="0"/>
                  <w:textInput/>
                </w:ffData>
              </w:fldChar>
            </w:r>
            <w:r w:rsidRPr="00621FA1">
              <w:rPr>
                <w:sz w:val="18"/>
                <w:szCs w:val="18"/>
              </w:rPr>
              <w:instrText xml:space="preserve"> FORMTEXT </w:instrText>
            </w:r>
            <w:r w:rsidRPr="00621FA1">
              <w:rPr>
                <w:sz w:val="18"/>
                <w:szCs w:val="18"/>
              </w:rPr>
            </w:r>
            <w:r w:rsidRPr="00621FA1">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621FA1">
              <w:rPr>
                <w:sz w:val="18"/>
                <w:szCs w:val="18"/>
              </w:rPr>
              <w:fldChar w:fldCharType="end"/>
            </w:r>
          </w:p>
          <w:p w14:paraId="10E416DD" w14:textId="51D16612" w:rsidR="00F92CA0" w:rsidRPr="00621FA1" w:rsidRDefault="00F92CA0" w:rsidP="0079784C">
            <w:pPr>
              <w:spacing w:before="0" w:after="0"/>
            </w:pPr>
            <w:r w:rsidRPr="00621FA1">
              <w:t>Rationale of your answer:</w:t>
            </w:r>
            <w:r w:rsidRPr="00621FA1">
              <w:rPr>
                <w:sz w:val="18"/>
                <w:szCs w:val="18"/>
              </w:rPr>
              <w:t xml:space="preserve"> </w:t>
            </w:r>
            <w:r w:rsidRPr="00621FA1">
              <w:rPr>
                <w:sz w:val="18"/>
                <w:szCs w:val="18"/>
              </w:rPr>
              <w:fldChar w:fldCharType="begin">
                <w:ffData>
                  <w:name w:val="Text3"/>
                  <w:enabled/>
                  <w:calcOnExit w:val="0"/>
                  <w:textInput/>
                </w:ffData>
              </w:fldChar>
            </w:r>
            <w:r w:rsidRPr="00621FA1">
              <w:rPr>
                <w:sz w:val="18"/>
                <w:szCs w:val="18"/>
              </w:rPr>
              <w:instrText xml:space="preserve"> FORMTEXT </w:instrText>
            </w:r>
            <w:r w:rsidRPr="00621FA1">
              <w:rPr>
                <w:sz w:val="18"/>
                <w:szCs w:val="18"/>
              </w:rPr>
            </w:r>
            <w:r w:rsidRPr="00621FA1">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621FA1">
              <w:rPr>
                <w:sz w:val="18"/>
                <w:szCs w:val="18"/>
              </w:rPr>
              <w:fldChar w:fldCharType="end"/>
            </w:r>
          </w:p>
          <w:p w14:paraId="194DE7BE" w14:textId="77777777" w:rsidR="00F92CA0" w:rsidRPr="00621FA1" w:rsidRDefault="00F92CA0" w:rsidP="0079784C">
            <w:pPr>
              <w:spacing w:before="0" w:after="0"/>
            </w:pPr>
          </w:p>
        </w:tc>
      </w:tr>
    </w:tbl>
    <w:p w14:paraId="468D4835" w14:textId="68517A95" w:rsidR="00441C77" w:rsidRDefault="00441C77">
      <w:pPr>
        <w:spacing w:before="0" w:after="0" w:line="240" w:lineRule="auto"/>
        <w:jc w:val="left"/>
      </w:pPr>
    </w:p>
    <w:p w14:paraId="1769DCC0" w14:textId="1D16C920" w:rsidR="00E63180" w:rsidRDefault="00E63180" w:rsidP="00661E91">
      <w:pPr>
        <w:pStyle w:val="Heading2"/>
        <w:numPr>
          <w:ilvl w:val="1"/>
          <w:numId w:val="6"/>
        </w:numPr>
      </w:pPr>
      <w:bookmarkStart w:id="16" w:name="_Toc10013277"/>
      <w:bookmarkStart w:id="17" w:name="_Toc11660890"/>
      <w:bookmarkStart w:id="18" w:name="_Toc50452859"/>
      <w:r>
        <w:t>Other questions</w:t>
      </w:r>
      <w:bookmarkEnd w:id="16"/>
      <w:bookmarkEnd w:id="17"/>
      <w:bookmarkEnd w:id="18"/>
    </w:p>
    <w:p w14:paraId="276A3A07" w14:textId="5F5C7DC2" w:rsidR="00FE45CA" w:rsidRDefault="00FE45CA" w:rsidP="00FE45CA">
      <w:pPr>
        <w:pStyle w:val="Caption"/>
      </w:pPr>
      <w:r>
        <w:t>Date of validity</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6266E7" w14:paraId="75FEA0A0" w14:textId="77777777" w:rsidTr="00FE45CA">
        <w:tc>
          <w:tcPr>
            <w:tcW w:w="9322" w:type="dxa"/>
            <w:shd w:val="clear" w:color="auto" w:fill="auto"/>
          </w:tcPr>
          <w:p w14:paraId="3140EE6B" w14:textId="4BB61AF6" w:rsidR="002F3DA7" w:rsidRPr="00FE45CA" w:rsidRDefault="002F3DA7" w:rsidP="00FE45CA">
            <w:pPr>
              <w:pStyle w:val="Caption"/>
              <w:spacing w:before="0" w:after="0" w:line="360" w:lineRule="auto"/>
            </w:pPr>
            <w:r w:rsidRPr="00FE45CA">
              <w:t xml:space="preserve">Question </w:t>
            </w:r>
            <w:r w:rsidRPr="00FE45CA">
              <w:fldChar w:fldCharType="begin"/>
            </w:r>
            <w:r w:rsidRPr="00FE45CA">
              <w:instrText xml:space="preserve"> SEQ Question \* ARABIC </w:instrText>
            </w:r>
            <w:r w:rsidRPr="00FE45CA">
              <w:fldChar w:fldCharType="separate"/>
            </w:r>
            <w:r w:rsidR="00956D02">
              <w:rPr>
                <w:noProof/>
              </w:rPr>
              <w:t>10</w:t>
            </w:r>
            <w:r w:rsidRPr="00FE45CA">
              <w:fldChar w:fldCharType="end"/>
            </w:r>
          </w:p>
          <w:p w14:paraId="48645D9B" w14:textId="2456CF95" w:rsidR="00E63180" w:rsidRDefault="00E63180" w:rsidP="006266E7">
            <w:r w:rsidRPr="00E63180">
              <w:t xml:space="preserve">The results of this consultation will presented to the </w:t>
            </w:r>
            <w:r>
              <w:t>Standards Committee Meeting in November</w:t>
            </w:r>
            <w:r w:rsidRPr="00E63180">
              <w:t xml:space="preserve"> 25</w:t>
            </w:r>
            <w:r w:rsidRPr="003D2AD0">
              <w:rPr>
                <w:vertAlign w:val="superscript"/>
              </w:rPr>
              <w:t>th</w:t>
            </w:r>
            <w:r>
              <w:t xml:space="preserve"> 2020</w:t>
            </w:r>
            <w:r w:rsidRPr="00E63180">
              <w:t>.</w:t>
            </w:r>
          </w:p>
          <w:p w14:paraId="3D24B87A" w14:textId="33E71761" w:rsidR="00E63180" w:rsidRPr="009F292A" w:rsidRDefault="00CC0184" w:rsidP="00E63180">
            <w:pPr>
              <w:rPr>
                <w:b/>
              </w:rPr>
            </w:pPr>
            <w:r>
              <w:rPr>
                <w:b/>
              </w:rPr>
              <w:t>W</w:t>
            </w:r>
            <w:r w:rsidR="00E63180" w:rsidRPr="009F292A">
              <w:rPr>
                <w:b/>
              </w:rPr>
              <w:t xml:space="preserve">ould you </w:t>
            </w:r>
            <w:r>
              <w:rPr>
                <w:b/>
              </w:rPr>
              <w:t xml:space="preserve">agree to have the new revised prices implemented as soon as possible in December 2020? </w:t>
            </w:r>
          </w:p>
          <w:p w14:paraId="03A0CA64" w14:textId="065D439A" w:rsidR="00CC0184" w:rsidRDefault="006266E7" w:rsidP="006266E7">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rsidR="00CC0184">
              <w:t>Yes, t</w:t>
            </w:r>
            <w:r w:rsidRPr="000617F0">
              <w:t>he earliest possible</w:t>
            </w:r>
            <w:r w:rsidR="002945E6">
              <w:t xml:space="preserve"> (</w:t>
            </w:r>
            <w:r w:rsidR="00D87274">
              <w:t xml:space="preserve">December </w:t>
            </w:r>
            <w:r w:rsidR="002945E6">
              <w:t>2020)</w:t>
            </w:r>
            <w:r w:rsidRPr="000617F0">
              <w:t xml:space="preserve"> </w:t>
            </w:r>
          </w:p>
          <w:p w14:paraId="69C0E85C" w14:textId="257233D3" w:rsidR="006266E7" w:rsidRPr="000617F0" w:rsidRDefault="006266E7" w:rsidP="006266E7">
            <w:r w:rsidRPr="000617F0">
              <w:fldChar w:fldCharType="begin">
                <w:ffData>
                  <w:name w:val="Check1"/>
                  <w:enabled/>
                  <w:calcOnExit w:val="0"/>
                  <w:checkBox>
                    <w:sizeAuto/>
                    <w:default w:val="0"/>
                  </w:checkBox>
                </w:ffData>
              </w:fldChar>
            </w:r>
            <w:r w:rsidRPr="000617F0">
              <w:instrText xml:space="preserve"> FORMCHECKBOX </w:instrText>
            </w:r>
            <w:r w:rsidR="00706B92">
              <w:fldChar w:fldCharType="separate"/>
            </w:r>
            <w:r w:rsidRPr="000617F0">
              <w:fldChar w:fldCharType="end"/>
            </w:r>
            <w:r w:rsidRPr="000617F0">
              <w:t xml:space="preserve"> </w:t>
            </w:r>
            <w:r w:rsidR="00CC0184">
              <w:t xml:space="preserve">No, </w:t>
            </w:r>
            <w:r w:rsidRPr="000617F0">
              <w:t>later</w:t>
            </w:r>
            <w:r w:rsidR="00CC0184">
              <w:t xml:space="preserve">. </w:t>
            </w:r>
            <w:r w:rsidRPr="000617F0">
              <w:t xml:space="preserve"> </w:t>
            </w:r>
            <w:r w:rsidR="00CC0184">
              <w:t>Sp</w:t>
            </w:r>
            <w:r w:rsidRPr="000617F0">
              <w:t>ecify a date:</w:t>
            </w:r>
            <w:r w:rsidRPr="00FE45CA">
              <w:rPr>
                <w:sz w:val="18"/>
                <w:szCs w:val="18"/>
              </w:rPr>
              <w:t xml:space="preserve"> </w:t>
            </w: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FE45CA">
              <w:rPr>
                <w:sz w:val="18"/>
                <w:szCs w:val="18"/>
              </w:rPr>
              <w:fldChar w:fldCharType="end"/>
            </w:r>
          </w:p>
          <w:p w14:paraId="289EFA8C" w14:textId="56AA9EFB" w:rsidR="00D90BD7" w:rsidRDefault="005262DD" w:rsidP="00547EE5">
            <w:r w:rsidRPr="000617F0">
              <w:t>Rationale of your answer:</w:t>
            </w:r>
            <w:r w:rsidRPr="00FE45CA">
              <w:rPr>
                <w:sz w:val="18"/>
                <w:szCs w:val="18"/>
              </w:rPr>
              <w:t xml:space="preserve"> </w:t>
            </w: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FE45CA">
              <w:rPr>
                <w:sz w:val="18"/>
                <w:szCs w:val="18"/>
              </w:rPr>
              <w:fldChar w:fldCharType="end"/>
            </w:r>
          </w:p>
        </w:tc>
      </w:tr>
    </w:tbl>
    <w:p w14:paraId="44651D2D" w14:textId="2C4ADE7A" w:rsidR="00FE45CA" w:rsidRDefault="00FE45CA" w:rsidP="00441C77">
      <w:pPr>
        <w:pStyle w:val="Caption"/>
      </w:pPr>
      <w:r>
        <w:t>Final comments</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14454F" w14:paraId="6D31CA95" w14:textId="77777777" w:rsidTr="00FE45CA">
        <w:tc>
          <w:tcPr>
            <w:tcW w:w="9322" w:type="dxa"/>
            <w:shd w:val="clear" w:color="auto" w:fill="auto"/>
          </w:tcPr>
          <w:p w14:paraId="515C991B" w14:textId="57E1C4D4" w:rsidR="00441C77" w:rsidRPr="00FE45CA" w:rsidRDefault="00441C77" w:rsidP="00441C77">
            <w:pPr>
              <w:pStyle w:val="Caption"/>
              <w:spacing w:before="0" w:after="0" w:line="360" w:lineRule="auto"/>
            </w:pPr>
            <w:r w:rsidRPr="00FE45CA">
              <w:t xml:space="preserve">Question </w:t>
            </w:r>
            <w:r w:rsidRPr="00FE45CA">
              <w:fldChar w:fldCharType="begin"/>
            </w:r>
            <w:r w:rsidRPr="00FE45CA">
              <w:instrText xml:space="preserve"> SEQ Question \* ARABIC </w:instrText>
            </w:r>
            <w:r w:rsidRPr="00FE45CA">
              <w:fldChar w:fldCharType="separate"/>
            </w:r>
            <w:r w:rsidR="00956D02">
              <w:rPr>
                <w:noProof/>
              </w:rPr>
              <w:t>11</w:t>
            </w:r>
            <w:r w:rsidRPr="00FE45CA">
              <w:fldChar w:fldCharType="end"/>
            </w:r>
          </w:p>
          <w:p w14:paraId="04B685BA" w14:textId="18D7481D" w:rsidR="00197C1D" w:rsidRPr="000617F0" w:rsidRDefault="0014454F" w:rsidP="0014454F">
            <w:r w:rsidRPr="000617F0">
              <w:t>Please provide any other comment that you want to conve</w:t>
            </w:r>
            <w:r w:rsidR="002945E6">
              <w:t>y to us, in the following space:</w:t>
            </w:r>
          </w:p>
          <w:p w14:paraId="05EB0947" w14:textId="03946FD2" w:rsidR="00E96B7F" w:rsidRDefault="0014454F" w:rsidP="00FE45CA">
            <w:pPr>
              <w:spacing w:after="0" w:line="240" w:lineRule="auto"/>
              <w:jc w:val="left"/>
              <w:rPr>
                <w:sz w:val="18"/>
                <w:szCs w:val="18"/>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00956D02">
              <w:rPr>
                <w:noProof/>
                <w:sz w:val="18"/>
                <w:szCs w:val="18"/>
              </w:rPr>
              <w:t> </w:t>
            </w:r>
            <w:r w:rsidRPr="00FE45CA">
              <w:rPr>
                <w:sz w:val="18"/>
                <w:szCs w:val="18"/>
              </w:rPr>
              <w:fldChar w:fldCharType="end"/>
            </w:r>
          </w:p>
          <w:p w14:paraId="7822E17F" w14:textId="56C2B01C" w:rsidR="00197C1D" w:rsidRDefault="00197C1D" w:rsidP="00FE45CA">
            <w:pPr>
              <w:spacing w:after="0" w:line="240" w:lineRule="auto"/>
              <w:jc w:val="left"/>
            </w:pPr>
          </w:p>
        </w:tc>
      </w:tr>
    </w:tbl>
    <w:p w14:paraId="2A35A34D" w14:textId="5E26C143" w:rsidR="00E10C59" w:rsidRPr="000617F0" w:rsidRDefault="00E10C59">
      <w:pPr>
        <w:spacing w:after="0" w:line="240" w:lineRule="auto"/>
        <w:jc w:val="left"/>
      </w:pPr>
    </w:p>
    <w:p w14:paraId="712A530E" w14:textId="35DB79AA" w:rsidR="00DE3C0A" w:rsidRDefault="00DE3C0A">
      <w:pPr>
        <w:spacing w:before="0" w:after="0" w:line="240" w:lineRule="auto"/>
        <w:jc w:val="left"/>
      </w:pPr>
      <w:r>
        <w:br w:type="page"/>
      </w:r>
    </w:p>
    <w:p w14:paraId="0B8DCC2E" w14:textId="4E71FF93" w:rsidR="00DE3C0A" w:rsidRDefault="00DE3C0A" w:rsidP="00E90457">
      <w:pPr>
        <w:pStyle w:val="Heading1"/>
      </w:pPr>
      <w:bookmarkStart w:id="19" w:name="_Ref49238888"/>
      <w:bookmarkStart w:id="20" w:name="_Toc50452860"/>
      <w:bookmarkStart w:id="21" w:name="_Ref8799412"/>
      <w:bookmarkStart w:id="22" w:name="_Toc10013265"/>
      <w:bookmarkStart w:id="23" w:name="_Toc11660876"/>
      <w:r>
        <w:lastRenderedPageBreak/>
        <w:t>Annex</w:t>
      </w:r>
      <w:bookmarkEnd w:id="19"/>
      <w:bookmarkEnd w:id="20"/>
    </w:p>
    <w:p w14:paraId="61F6784D" w14:textId="766D4AB5" w:rsidR="00DE3C0A" w:rsidRPr="000E4C5B" w:rsidRDefault="00DE3C0A" w:rsidP="00DE3C0A">
      <w:pPr>
        <w:pStyle w:val="Heading4"/>
      </w:pPr>
      <w:r w:rsidRPr="000E4C5B">
        <w:t xml:space="preserve">COSP research </w:t>
      </w:r>
      <w:bookmarkEnd w:id="21"/>
      <w:bookmarkEnd w:id="22"/>
      <w:bookmarkEnd w:id="23"/>
      <w:r w:rsidR="00E90457">
        <w:t>summary</w:t>
      </w:r>
    </w:p>
    <w:p w14:paraId="71740D7E" w14:textId="111D766E" w:rsidR="00E90457" w:rsidRPr="00AB188A" w:rsidRDefault="00DE3C0A" w:rsidP="00356008">
      <w:r>
        <w:t>Costs of Sustainable Production from Fairtrade lime producers have been collected during 1</w:t>
      </w:r>
      <w:r w:rsidRPr="00213C61">
        <w:rPr>
          <w:vertAlign w:val="superscript"/>
        </w:rPr>
        <w:t>st</w:t>
      </w:r>
      <w:r>
        <w:t xml:space="preserve"> consultation round (from May to June 2020). </w:t>
      </w:r>
      <w:r w:rsidR="00E80B6C">
        <w:t>This was done by use of the generic COSP tool</w:t>
      </w:r>
      <w:r>
        <w:t xml:space="preserve"> (see </w:t>
      </w:r>
      <w:hyperlink r:id="rId15" w:history="1">
        <w:r w:rsidRPr="00E80B6C">
          <w:rPr>
            <w:rStyle w:val="Hyperlink"/>
          </w:rPr>
          <w:t>LINK</w:t>
        </w:r>
      </w:hyperlink>
      <w:r>
        <w:t xml:space="preserve">). </w:t>
      </w:r>
      <w:r w:rsidRPr="00AB188A">
        <w:t xml:space="preserve">The tool was sent to all lime producer organizations (20) and a total of 9 POs (more than one third of the total) filled in the form and sent their data. The 9 organizations represent 24% of the volume sales for Fairtrade limes from 2018. Field support was provided by the field officers in each Producer Networks (CLAC, NAPP). Overall, the rate of response and quality of the data has been adequate to prepare FMP proposals based on the principle of covering average costs of sustainable production for limes fresh (EXW and FOB) and for lime juice. </w:t>
      </w:r>
      <w:r w:rsidR="002539E2" w:rsidRPr="00AB188A">
        <w:t xml:space="preserve">The </w:t>
      </w:r>
      <w:r w:rsidR="00356008">
        <w:t>data</w:t>
      </w:r>
      <w:r w:rsidR="002539E2" w:rsidRPr="00AB188A">
        <w:t xml:space="preserve"> w</w:t>
      </w:r>
      <w:r w:rsidR="00356008">
        <w:t>as</w:t>
      </w:r>
      <w:r w:rsidR="002539E2" w:rsidRPr="00AB188A">
        <w:t xml:space="preserve"> compiled, cleansed and </w:t>
      </w:r>
      <w:r w:rsidR="002539E2">
        <w:t xml:space="preserve">processed by the Pricing unit. </w:t>
      </w:r>
      <w:r w:rsidR="00356008">
        <w:t xml:space="preserve"> Here an overview of the main results:</w:t>
      </w:r>
    </w:p>
    <w:p w14:paraId="3C9A687E" w14:textId="77777777" w:rsidR="00DE3C0A" w:rsidRPr="00AB188A" w:rsidRDefault="00DE3C0A" w:rsidP="00661E91">
      <w:pPr>
        <w:pStyle w:val="ListParagraph"/>
        <w:numPr>
          <w:ilvl w:val="0"/>
          <w:numId w:val="8"/>
        </w:numPr>
        <w:spacing w:before="0" w:after="0" w:line="360" w:lineRule="auto"/>
        <w:ind w:left="284" w:hanging="218"/>
        <w:rPr>
          <w:rFonts w:cs="Arial"/>
          <w:sz w:val="20"/>
          <w:szCs w:val="20"/>
        </w:rPr>
      </w:pPr>
      <w:r w:rsidRPr="00AB188A">
        <w:rPr>
          <w:rFonts w:cs="Arial"/>
          <w:sz w:val="20"/>
          <w:szCs w:val="20"/>
        </w:rPr>
        <w:t>8 out of 9 organizations that presented the COSP sheet are producing fresh limes (most of them for exporting fresh). The other one was focus into limes for processing into juice.</w:t>
      </w:r>
    </w:p>
    <w:p w14:paraId="0AA770A9" w14:textId="77777777" w:rsidR="00DE3C0A" w:rsidRPr="009A7A4C" w:rsidRDefault="00DE3C0A" w:rsidP="00661E91">
      <w:pPr>
        <w:pStyle w:val="ListParagraph"/>
        <w:numPr>
          <w:ilvl w:val="0"/>
          <w:numId w:val="8"/>
        </w:numPr>
        <w:spacing w:before="0" w:after="0" w:line="360" w:lineRule="auto"/>
        <w:ind w:left="284" w:hanging="218"/>
        <w:rPr>
          <w:rFonts w:cs="Arial"/>
          <w:sz w:val="20"/>
          <w:szCs w:val="20"/>
        </w:rPr>
      </w:pPr>
      <w:r w:rsidRPr="00AB188A">
        <w:rPr>
          <w:rFonts w:cs="Arial"/>
          <w:sz w:val="20"/>
          <w:szCs w:val="20"/>
        </w:rPr>
        <w:t xml:space="preserve">The average yield per region are 25; 30 and 21 MT per ha for South America, Southern Asia and </w:t>
      </w:r>
      <w:r w:rsidRPr="00AB188A">
        <w:rPr>
          <w:rFonts w:cs="Arial"/>
          <w:sz w:val="20"/>
          <w:szCs w:val="20"/>
          <w:lang w:val="en-US"/>
        </w:rPr>
        <w:t>Central America and Mexico and the Caribbean)</w:t>
      </w:r>
      <w:r>
        <w:rPr>
          <w:rFonts w:cs="Arial"/>
          <w:sz w:val="20"/>
          <w:szCs w:val="20"/>
          <w:lang w:val="en-US"/>
        </w:rPr>
        <w:t>.</w:t>
      </w:r>
    </w:p>
    <w:p w14:paraId="271225CF" w14:textId="3DDB8C0A" w:rsidR="00DE3C0A" w:rsidRPr="002539E2" w:rsidRDefault="00DE3C0A" w:rsidP="00661E91">
      <w:pPr>
        <w:pStyle w:val="ListParagraph"/>
        <w:numPr>
          <w:ilvl w:val="0"/>
          <w:numId w:val="8"/>
        </w:numPr>
        <w:spacing w:before="0" w:after="0" w:line="360" w:lineRule="auto"/>
        <w:ind w:left="284" w:hanging="218"/>
        <w:rPr>
          <w:rFonts w:cs="Arial"/>
          <w:sz w:val="20"/>
          <w:szCs w:val="20"/>
        </w:rPr>
      </w:pPr>
      <w:r>
        <w:rPr>
          <w:rFonts w:cs="Arial"/>
          <w:sz w:val="20"/>
          <w:szCs w:val="20"/>
          <w:lang w:val="en-US"/>
        </w:rPr>
        <w:t>Average of transformation, packing and export costs are shown in the following table:</w:t>
      </w:r>
    </w:p>
    <w:tbl>
      <w:tblPr>
        <w:tblStyle w:val="GridTable3-Accent4"/>
        <w:tblW w:w="8080" w:type="dxa"/>
        <w:tblLook w:val="04A0" w:firstRow="1" w:lastRow="0" w:firstColumn="1" w:lastColumn="0" w:noHBand="0" w:noVBand="1"/>
      </w:tblPr>
      <w:tblGrid>
        <w:gridCol w:w="3544"/>
        <w:gridCol w:w="1843"/>
        <w:gridCol w:w="1559"/>
        <w:gridCol w:w="1134"/>
      </w:tblGrid>
      <w:tr w:rsidR="00DE3C0A" w:rsidRPr="00AB188A" w14:paraId="708BDC7D" w14:textId="77777777" w:rsidTr="002539E2">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544" w:type="dxa"/>
            <w:noWrap/>
            <w:hideMark/>
          </w:tcPr>
          <w:p w14:paraId="7E41325D" w14:textId="279BC002" w:rsidR="00DE3C0A" w:rsidRPr="00AB188A" w:rsidRDefault="002539E2" w:rsidP="001F598B">
            <w:pPr>
              <w:spacing w:before="0" w:after="0" w:line="240" w:lineRule="auto"/>
              <w:jc w:val="left"/>
              <w:rPr>
                <w:lang w:val="en-US" w:eastAsia="en-US"/>
              </w:rPr>
            </w:pPr>
            <w:r>
              <w:rPr>
                <w:lang w:val="en-US" w:eastAsia="en-US"/>
              </w:rPr>
              <w:t>USD per kg of fresh limes</w:t>
            </w:r>
          </w:p>
        </w:tc>
        <w:tc>
          <w:tcPr>
            <w:tcW w:w="1843" w:type="dxa"/>
            <w:hideMark/>
          </w:tcPr>
          <w:p w14:paraId="03BDFA2D" w14:textId="2C16AD6E" w:rsidR="00DE3C0A" w:rsidRPr="00AB188A" w:rsidRDefault="00DE3C0A" w:rsidP="002539E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000000"/>
                <w:lang w:val="en-US" w:eastAsia="en-US"/>
              </w:rPr>
            </w:pPr>
            <w:r w:rsidRPr="00AB188A">
              <w:rPr>
                <w:color w:val="000000"/>
                <w:lang w:val="en-US" w:eastAsia="en-US"/>
              </w:rPr>
              <w:t>Transformation costs</w:t>
            </w:r>
          </w:p>
        </w:tc>
        <w:tc>
          <w:tcPr>
            <w:tcW w:w="1559" w:type="dxa"/>
            <w:hideMark/>
          </w:tcPr>
          <w:p w14:paraId="0CDA5A86" w14:textId="7C601C85" w:rsidR="00DE3C0A" w:rsidRPr="00AB188A" w:rsidRDefault="00DE3C0A" w:rsidP="002539E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000000"/>
                <w:lang w:val="en-US" w:eastAsia="en-US"/>
              </w:rPr>
            </w:pPr>
            <w:r w:rsidRPr="00AB188A">
              <w:rPr>
                <w:color w:val="000000"/>
                <w:lang w:val="en-US" w:eastAsia="en-US"/>
              </w:rPr>
              <w:t>Packing costs</w:t>
            </w:r>
          </w:p>
        </w:tc>
        <w:tc>
          <w:tcPr>
            <w:tcW w:w="1134" w:type="dxa"/>
            <w:hideMark/>
          </w:tcPr>
          <w:p w14:paraId="47966ACC" w14:textId="2067A872" w:rsidR="00DE3C0A" w:rsidRPr="00AB188A" w:rsidRDefault="00DE3C0A" w:rsidP="002539E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000000"/>
                <w:lang w:val="en-US" w:eastAsia="en-US"/>
              </w:rPr>
            </w:pPr>
            <w:r w:rsidRPr="00AB188A">
              <w:rPr>
                <w:color w:val="000000"/>
                <w:lang w:val="en-US" w:eastAsia="en-US"/>
              </w:rPr>
              <w:t>Export</w:t>
            </w:r>
            <w:r w:rsidR="002539E2">
              <w:rPr>
                <w:color w:val="000000"/>
                <w:lang w:val="en-US" w:eastAsia="en-US"/>
              </w:rPr>
              <w:t xml:space="preserve"> costs</w:t>
            </w:r>
          </w:p>
        </w:tc>
      </w:tr>
      <w:tr w:rsidR="00DE3C0A" w:rsidRPr="00AB188A" w14:paraId="5E091DF8" w14:textId="77777777" w:rsidTr="002539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40969315" w14:textId="77777777" w:rsidR="00DE3C0A" w:rsidRPr="00AB188A" w:rsidRDefault="00DE3C0A" w:rsidP="001F598B">
            <w:pPr>
              <w:spacing w:before="0" w:after="0" w:line="240" w:lineRule="auto"/>
              <w:jc w:val="left"/>
              <w:rPr>
                <w:color w:val="000000"/>
                <w:lang w:val="en-US" w:eastAsia="en-US"/>
              </w:rPr>
            </w:pPr>
            <w:r w:rsidRPr="00AB188A">
              <w:rPr>
                <w:color w:val="000000"/>
                <w:lang w:val="en-US" w:eastAsia="en-US"/>
              </w:rPr>
              <w:t>South America</w:t>
            </w:r>
          </w:p>
        </w:tc>
        <w:tc>
          <w:tcPr>
            <w:tcW w:w="1843" w:type="dxa"/>
            <w:noWrap/>
            <w:hideMark/>
          </w:tcPr>
          <w:p w14:paraId="6B956737" w14:textId="77777777" w:rsidR="00DE3C0A" w:rsidRPr="00AB188A"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AB188A">
              <w:rPr>
                <w:color w:val="000000"/>
                <w:lang w:val="en-US" w:eastAsia="en-US"/>
              </w:rPr>
              <w:t>0.07</w:t>
            </w:r>
          </w:p>
        </w:tc>
        <w:tc>
          <w:tcPr>
            <w:tcW w:w="1559" w:type="dxa"/>
            <w:noWrap/>
            <w:hideMark/>
          </w:tcPr>
          <w:p w14:paraId="5DA599F9" w14:textId="77777777" w:rsidR="00DE3C0A" w:rsidRPr="00AB188A"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AB188A">
              <w:rPr>
                <w:color w:val="000000"/>
                <w:lang w:val="en-US" w:eastAsia="en-US"/>
              </w:rPr>
              <w:t>0.14</w:t>
            </w:r>
          </w:p>
        </w:tc>
        <w:tc>
          <w:tcPr>
            <w:tcW w:w="1134" w:type="dxa"/>
            <w:noWrap/>
            <w:hideMark/>
          </w:tcPr>
          <w:p w14:paraId="3510BC00" w14:textId="77777777" w:rsidR="00DE3C0A" w:rsidRPr="00AB188A"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AB188A">
              <w:rPr>
                <w:color w:val="000000"/>
                <w:lang w:val="en-US" w:eastAsia="en-US"/>
              </w:rPr>
              <w:t>0.10</w:t>
            </w:r>
          </w:p>
        </w:tc>
      </w:tr>
      <w:tr w:rsidR="00DE3C0A" w:rsidRPr="00AB188A" w14:paraId="40CE6FDF" w14:textId="77777777" w:rsidTr="002539E2">
        <w:trPr>
          <w:trHeight w:val="2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1ECFA85C" w14:textId="77777777" w:rsidR="00DE3C0A" w:rsidRPr="00AB188A" w:rsidRDefault="00DE3C0A" w:rsidP="001F598B">
            <w:pPr>
              <w:spacing w:before="0" w:after="0" w:line="240" w:lineRule="auto"/>
              <w:jc w:val="left"/>
              <w:rPr>
                <w:color w:val="000000"/>
                <w:lang w:val="en-US" w:eastAsia="en-US"/>
              </w:rPr>
            </w:pPr>
            <w:r w:rsidRPr="00AB188A">
              <w:rPr>
                <w:color w:val="000000"/>
                <w:lang w:val="en-US" w:eastAsia="en-US"/>
              </w:rPr>
              <w:t>Southern Asia</w:t>
            </w:r>
          </w:p>
        </w:tc>
        <w:tc>
          <w:tcPr>
            <w:tcW w:w="1843" w:type="dxa"/>
            <w:noWrap/>
            <w:hideMark/>
          </w:tcPr>
          <w:p w14:paraId="1F7A8F2A" w14:textId="77777777" w:rsidR="00DE3C0A" w:rsidRPr="00AB188A"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n-US" w:eastAsia="en-US"/>
              </w:rPr>
            </w:pPr>
            <w:r w:rsidRPr="00AB188A">
              <w:rPr>
                <w:color w:val="000000"/>
                <w:lang w:val="en-US" w:eastAsia="en-US"/>
              </w:rPr>
              <w:t>0.17</w:t>
            </w:r>
          </w:p>
        </w:tc>
        <w:tc>
          <w:tcPr>
            <w:tcW w:w="1559" w:type="dxa"/>
            <w:noWrap/>
            <w:hideMark/>
          </w:tcPr>
          <w:p w14:paraId="3BD30B82" w14:textId="77777777" w:rsidR="00DE3C0A" w:rsidRPr="00AB188A"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n-US" w:eastAsia="en-US"/>
              </w:rPr>
            </w:pPr>
            <w:r w:rsidRPr="00AB188A">
              <w:rPr>
                <w:color w:val="000000"/>
                <w:lang w:val="en-US" w:eastAsia="en-US"/>
              </w:rPr>
              <w:t>0.10</w:t>
            </w:r>
          </w:p>
        </w:tc>
        <w:tc>
          <w:tcPr>
            <w:tcW w:w="1134" w:type="dxa"/>
            <w:noWrap/>
            <w:hideMark/>
          </w:tcPr>
          <w:p w14:paraId="2A6D5E7B" w14:textId="77777777" w:rsidR="00DE3C0A" w:rsidRPr="00AB188A"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n-US" w:eastAsia="en-US"/>
              </w:rPr>
            </w:pPr>
            <w:r w:rsidRPr="00AB188A">
              <w:rPr>
                <w:color w:val="000000"/>
                <w:lang w:val="en-US" w:eastAsia="en-US"/>
              </w:rPr>
              <w:t>0.05</w:t>
            </w:r>
          </w:p>
        </w:tc>
      </w:tr>
      <w:tr w:rsidR="00DE3C0A" w:rsidRPr="00AB188A" w14:paraId="31ED2331" w14:textId="77777777" w:rsidTr="002539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noWrap/>
            <w:hideMark/>
          </w:tcPr>
          <w:p w14:paraId="4AA69A06" w14:textId="350BEEA1" w:rsidR="00DE3C0A" w:rsidRPr="00AB188A" w:rsidRDefault="00DE3C0A" w:rsidP="002539E2">
            <w:pPr>
              <w:spacing w:before="0" w:after="0" w:line="240" w:lineRule="auto"/>
              <w:jc w:val="left"/>
              <w:rPr>
                <w:color w:val="000000"/>
                <w:lang w:val="en-US" w:eastAsia="en-US"/>
              </w:rPr>
            </w:pPr>
            <w:r w:rsidRPr="00466FFC">
              <w:rPr>
                <w:sz w:val="18"/>
                <w:szCs w:val="18"/>
                <w:lang w:val="en-US" w:eastAsia="en-US"/>
              </w:rPr>
              <w:t>Central America</w:t>
            </w:r>
            <w:r w:rsidR="002539E2">
              <w:rPr>
                <w:sz w:val="18"/>
                <w:szCs w:val="18"/>
                <w:lang w:val="en-US" w:eastAsia="en-US"/>
              </w:rPr>
              <w:t>,</w:t>
            </w:r>
            <w:r w:rsidRPr="00466FFC">
              <w:rPr>
                <w:sz w:val="18"/>
                <w:szCs w:val="18"/>
                <w:lang w:val="en-US" w:eastAsia="en-US"/>
              </w:rPr>
              <w:t xml:space="preserve"> Mexico and the Caribbean</w:t>
            </w:r>
          </w:p>
        </w:tc>
        <w:tc>
          <w:tcPr>
            <w:tcW w:w="1843" w:type="dxa"/>
            <w:noWrap/>
            <w:hideMark/>
          </w:tcPr>
          <w:p w14:paraId="746FB41D" w14:textId="77777777" w:rsidR="00DE3C0A" w:rsidRPr="00AB188A"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AB188A">
              <w:rPr>
                <w:color w:val="000000"/>
                <w:lang w:val="en-US" w:eastAsia="en-US"/>
              </w:rPr>
              <w:t>n.a.</w:t>
            </w:r>
          </w:p>
        </w:tc>
        <w:tc>
          <w:tcPr>
            <w:tcW w:w="1559" w:type="dxa"/>
            <w:noWrap/>
            <w:hideMark/>
          </w:tcPr>
          <w:p w14:paraId="7C5DB7DD" w14:textId="77777777" w:rsidR="00DE3C0A" w:rsidRPr="00AB188A"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AB188A">
              <w:rPr>
                <w:color w:val="000000"/>
                <w:lang w:val="en-US" w:eastAsia="en-US"/>
              </w:rPr>
              <w:t>0.15</w:t>
            </w:r>
          </w:p>
        </w:tc>
        <w:tc>
          <w:tcPr>
            <w:tcW w:w="1134" w:type="dxa"/>
            <w:noWrap/>
            <w:hideMark/>
          </w:tcPr>
          <w:p w14:paraId="326398E4" w14:textId="77777777" w:rsidR="00DE3C0A" w:rsidRPr="00AB188A"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n-US" w:eastAsia="en-US"/>
              </w:rPr>
            </w:pPr>
            <w:r w:rsidRPr="00AB188A">
              <w:rPr>
                <w:color w:val="000000"/>
                <w:lang w:val="en-US" w:eastAsia="en-US"/>
              </w:rPr>
              <w:t>0.19</w:t>
            </w:r>
          </w:p>
        </w:tc>
      </w:tr>
      <w:tr w:rsidR="00DE3C0A" w:rsidRPr="00AB188A" w14:paraId="3C3A4104" w14:textId="77777777" w:rsidTr="002539E2">
        <w:trPr>
          <w:trHeight w:val="20"/>
        </w:trPr>
        <w:tc>
          <w:tcPr>
            <w:cnfStyle w:val="001000000000" w:firstRow="0" w:lastRow="0" w:firstColumn="1" w:lastColumn="0" w:oddVBand="0" w:evenVBand="0" w:oddHBand="0" w:evenHBand="0" w:firstRowFirstColumn="0" w:firstRowLastColumn="0" w:lastRowFirstColumn="0" w:lastRowLastColumn="0"/>
            <w:tcW w:w="3544" w:type="dxa"/>
            <w:noWrap/>
          </w:tcPr>
          <w:p w14:paraId="716BE9C3" w14:textId="77777777" w:rsidR="00DE3C0A" w:rsidRPr="00AB188A" w:rsidRDefault="00DE3C0A" w:rsidP="001F598B">
            <w:pPr>
              <w:spacing w:before="0" w:after="0" w:line="240" w:lineRule="auto"/>
              <w:jc w:val="left"/>
              <w:rPr>
                <w:color w:val="000000"/>
                <w:lang w:val="en-US" w:eastAsia="en-US"/>
              </w:rPr>
            </w:pPr>
            <w:r>
              <w:rPr>
                <w:color w:val="000000"/>
                <w:lang w:val="en-US" w:eastAsia="en-US"/>
              </w:rPr>
              <w:t>Average of the 3 regions:</w:t>
            </w:r>
          </w:p>
        </w:tc>
        <w:tc>
          <w:tcPr>
            <w:tcW w:w="1843" w:type="dxa"/>
            <w:noWrap/>
          </w:tcPr>
          <w:p w14:paraId="53F3CB4F" w14:textId="77777777" w:rsidR="00DE3C0A" w:rsidRPr="00AB188A"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n-US" w:eastAsia="en-US"/>
              </w:rPr>
            </w:pPr>
            <w:r w:rsidRPr="00AB188A">
              <w:rPr>
                <w:color w:val="000000"/>
                <w:lang w:val="en-US" w:eastAsia="en-US"/>
              </w:rPr>
              <w:t>0.12</w:t>
            </w:r>
          </w:p>
        </w:tc>
        <w:tc>
          <w:tcPr>
            <w:tcW w:w="1559" w:type="dxa"/>
            <w:noWrap/>
          </w:tcPr>
          <w:p w14:paraId="4ACB7E13" w14:textId="77777777" w:rsidR="00DE3C0A" w:rsidRPr="00AB188A"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n-US" w:eastAsia="en-US"/>
              </w:rPr>
            </w:pPr>
            <w:r w:rsidRPr="00AB188A">
              <w:rPr>
                <w:color w:val="000000"/>
                <w:lang w:val="en-US" w:eastAsia="en-US"/>
              </w:rPr>
              <w:t>0.14</w:t>
            </w:r>
          </w:p>
        </w:tc>
        <w:tc>
          <w:tcPr>
            <w:tcW w:w="1134" w:type="dxa"/>
            <w:noWrap/>
          </w:tcPr>
          <w:p w14:paraId="7BB079B6" w14:textId="77777777" w:rsidR="00DE3C0A" w:rsidRPr="00AB188A"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n-US" w:eastAsia="en-US"/>
              </w:rPr>
            </w:pPr>
            <w:r w:rsidRPr="00AB188A">
              <w:rPr>
                <w:color w:val="000000"/>
                <w:lang w:val="en-US" w:eastAsia="en-US"/>
              </w:rPr>
              <w:t>0.19</w:t>
            </w:r>
          </w:p>
        </w:tc>
      </w:tr>
    </w:tbl>
    <w:p w14:paraId="21DD00B6" w14:textId="77777777" w:rsidR="00DE3C0A" w:rsidRPr="009A7A4C" w:rsidRDefault="00DE3C0A" w:rsidP="00DE3C0A">
      <w:pPr>
        <w:spacing w:before="0" w:after="0"/>
      </w:pPr>
    </w:p>
    <w:p w14:paraId="3670F9D2" w14:textId="77777777" w:rsidR="00DE3C0A" w:rsidRPr="00AB188A" w:rsidRDefault="00DE3C0A" w:rsidP="00DE3C0A">
      <w:r>
        <w:t>T</w:t>
      </w:r>
      <w:r w:rsidRPr="00AB188A">
        <w:t xml:space="preserve">he </w:t>
      </w:r>
      <w:r>
        <w:t>main</w:t>
      </w:r>
      <w:r w:rsidRPr="00AB188A">
        <w:t xml:space="preserve"> analysis </w:t>
      </w:r>
      <w:r>
        <w:t>has been</w:t>
      </w:r>
      <w:r w:rsidRPr="00AB188A">
        <w:t xml:space="preserve"> a regression formula with the EXW costs without packaging as a main dependent variable and 8 independent variables</w:t>
      </w:r>
      <w:r w:rsidRPr="00AB188A">
        <w:rPr>
          <w:rStyle w:val="FootnoteReference"/>
        </w:rPr>
        <w:footnoteReference w:id="8"/>
      </w:r>
      <w:r w:rsidRPr="00AB188A">
        <w:t xml:space="preserve">. </w:t>
      </w:r>
      <w:r>
        <w:t xml:space="preserve">This formula is the basis to calculate proposals for EXW FMP unpacked (as Fresh fruits is usually unpacked). From this formula we also see that </w:t>
      </w:r>
      <w:r w:rsidRPr="00AB188A">
        <w:t>organic production appears to be on average 0.14 USD per kg higher than conventional production</w:t>
      </w:r>
    </w:p>
    <w:tbl>
      <w:tblPr>
        <w:tblStyle w:val="GridTable1Light-Accent5"/>
        <w:tblW w:w="6458" w:type="dxa"/>
        <w:tblLook w:val="04A0" w:firstRow="1" w:lastRow="0" w:firstColumn="1" w:lastColumn="0" w:noHBand="0" w:noVBand="1"/>
      </w:tblPr>
      <w:tblGrid>
        <w:gridCol w:w="2139"/>
        <w:gridCol w:w="1363"/>
        <w:gridCol w:w="1657"/>
        <w:gridCol w:w="1299"/>
      </w:tblGrid>
      <w:tr w:rsidR="002539E2" w:rsidRPr="002539E2" w14:paraId="226E9669" w14:textId="126CB44C" w:rsidTr="002539E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39" w:type="dxa"/>
            <w:hideMark/>
          </w:tcPr>
          <w:p w14:paraId="1A02E249" w14:textId="77777777" w:rsidR="002539E2" w:rsidRPr="002539E2" w:rsidRDefault="002539E2" w:rsidP="002539E2">
            <w:pPr>
              <w:spacing w:before="0" w:after="0" w:line="240" w:lineRule="auto"/>
              <w:jc w:val="left"/>
              <w:rPr>
                <w:color w:val="000000"/>
                <w:sz w:val="16"/>
                <w:szCs w:val="18"/>
                <w:lang w:val="en-US" w:eastAsia="en-US"/>
              </w:rPr>
            </w:pPr>
            <w:r w:rsidRPr="002539E2">
              <w:rPr>
                <w:color w:val="000000"/>
                <w:sz w:val="16"/>
                <w:szCs w:val="18"/>
                <w:lang w:val="en-US" w:eastAsia="en-US"/>
              </w:rPr>
              <w:t>SUMMARY OUTPUT</w:t>
            </w:r>
          </w:p>
        </w:tc>
        <w:tc>
          <w:tcPr>
            <w:tcW w:w="1363" w:type="dxa"/>
            <w:hideMark/>
          </w:tcPr>
          <w:p w14:paraId="7BAFCD94" w14:textId="77777777" w:rsidR="002539E2" w:rsidRPr="002539E2" w:rsidRDefault="002539E2" w:rsidP="002539E2">
            <w:pPr>
              <w:spacing w:before="0" w:after="0" w:line="240" w:lineRule="auto"/>
              <w:jc w:val="left"/>
              <w:cnfStyle w:val="100000000000" w:firstRow="1" w:lastRow="0" w:firstColumn="0" w:lastColumn="0" w:oddVBand="0" w:evenVBand="0" w:oddHBand="0" w:evenHBand="0" w:firstRowFirstColumn="0" w:firstRowLastColumn="0" w:lastRowFirstColumn="0" w:lastRowLastColumn="0"/>
              <w:rPr>
                <w:color w:val="000000"/>
                <w:sz w:val="16"/>
                <w:szCs w:val="18"/>
                <w:lang w:val="en-US" w:eastAsia="en-US"/>
              </w:rPr>
            </w:pPr>
          </w:p>
        </w:tc>
        <w:tc>
          <w:tcPr>
            <w:tcW w:w="1657" w:type="dxa"/>
            <w:tcBorders>
              <w:bottom w:val="none" w:sz="0" w:space="0" w:color="auto"/>
            </w:tcBorders>
          </w:tcPr>
          <w:p w14:paraId="6F4D7CF5" w14:textId="79463EDC" w:rsidR="002539E2" w:rsidRPr="002539E2" w:rsidRDefault="002539E2" w:rsidP="002539E2">
            <w:pPr>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16"/>
              </w:rPr>
            </w:pPr>
            <w:r w:rsidRPr="002539E2">
              <w:rPr>
                <w:i/>
                <w:iCs/>
                <w:color w:val="000000"/>
                <w:sz w:val="16"/>
                <w:szCs w:val="18"/>
                <w:lang w:val="en-US" w:eastAsia="en-US"/>
              </w:rPr>
              <w:t> </w:t>
            </w:r>
          </w:p>
        </w:tc>
        <w:tc>
          <w:tcPr>
            <w:tcW w:w="1299" w:type="dxa"/>
            <w:tcBorders>
              <w:bottom w:val="none" w:sz="0" w:space="0" w:color="auto"/>
            </w:tcBorders>
          </w:tcPr>
          <w:p w14:paraId="0ABFC070" w14:textId="16E66447" w:rsidR="002539E2" w:rsidRPr="002539E2" w:rsidRDefault="002539E2" w:rsidP="002539E2">
            <w:pPr>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16"/>
              </w:rPr>
            </w:pPr>
            <w:r w:rsidRPr="002539E2">
              <w:rPr>
                <w:i/>
                <w:iCs/>
                <w:color w:val="000000"/>
                <w:sz w:val="16"/>
                <w:szCs w:val="18"/>
                <w:lang w:val="en-US" w:eastAsia="en-US"/>
              </w:rPr>
              <w:t>Coefficients</w:t>
            </w:r>
          </w:p>
        </w:tc>
      </w:tr>
      <w:tr w:rsidR="002539E2" w:rsidRPr="002539E2" w14:paraId="01F49504" w14:textId="1FA1B011" w:rsidTr="006B76F2">
        <w:trPr>
          <w:trHeight w:val="20"/>
        </w:trPr>
        <w:tc>
          <w:tcPr>
            <w:cnfStyle w:val="001000000000" w:firstRow="0" w:lastRow="0" w:firstColumn="1" w:lastColumn="0" w:oddVBand="0" w:evenVBand="0" w:oddHBand="0" w:evenHBand="0" w:firstRowFirstColumn="0" w:firstRowLastColumn="0" w:lastRowFirstColumn="0" w:lastRowLastColumn="0"/>
            <w:tcW w:w="3502" w:type="dxa"/>
            <w:gridSpan w:val="2"/>
            <w:noWrap/>
            <w:hideMark/>
          </w:tcPr>
          <w:p w14:paraId="18EC3F77" w14:textId="2A8F0228" w:rsidR="002539E2" w:rsidRPr="002539E2" w:rsidRDefault="002539E2" w:rsidP="002539E2">
            <w:pPr>
              <w:spacing w:before="0" w:after="0" w:line="240" w:lineRule="auto"/>
              <w:jc w:val="left"/>
              <w:rPr>
                <w:sz w:val="16"/>
              </w:rPr>
            </w:pPr>
            <w:r w:rsidRPr="002539E2">
              <w:rPr>
                <w:i/>
                <w:iCs/>
                <w:color w:val="000000"/>
                <w:sz w:val="16"/>
                <w:szCs w:val="18"/>
                <w:lang w:val="en-US" w:eastAsia="en-US"/>
              </w:rPr>
              <w:t>Regression Statistics</w:t>
            </w:r>
          </w:p>
        </w:tc>
        <w:tc>
          <w:tcPr>
            <w:tcW w:w="1657" w:type="dxa"/>
          </w:tcPr>
          <w:p w14:paraId="3A4B700D" w14:textId="2A8FBCA6"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Intercept</w:t>
            </w:r>
          </w:p>
        </w:tc>
        <w:tc>
          <w:tcPr>
            <w:tcW w:w="1299" w:type="dxa"/>
          </w:tcPr>
          <w:p w14:paraId="7B1688EC" w14:textId="6744E9F8"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0.272</w:t>
            </w:r>
          </w:p>
        </w:tc>
      </w:tr>
      <w:tr w:rsidR="002539E2" w:rsidRPr="002539E2" w14:paraId="14A815ED" w14:textId="59D0BBBD" w:rsidTr="002539E2">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1F057A25" w14:textId="77777777" w:rsidR="002539E2" w:rsidRPr="002539E2" w:rsidRDefault="002539E2" w:rsidP="002539E2">
            <w:pPr>
              <w:spacing w:before="0" w:after="0" w:line="240" w:lineRule="auto"/>
              <w:jc w:val="left"/>
              <w:rPr>
                <w:color w:val="000000"/>
                <w:sz w:val="16"/>
                <w:szCs w:val="18"/>
                <w:lang w:val="en-US" w:eastAsia="en-US"/>
              </w:rPr>
            </w:pPr>
            <w:r w:rsidRPr="002539E2">
              <w:rPr>
                <w:color w:val="000000"/>
                <w:sz w:val="16"/>
                <w:szCs w:val="18"/>
                <w:lang w:val="en-US" w:eastAsia="en-US"/>
              </w:rPr>
              <w:t>Multiple R</w:t>
            </w:r>
          </w:p>
        </w:tc>
        <w:tc>
          <w:tcPr>
            <w:tcW w:w="1363" w:type="dxa"/>
            <w:noWrap/>
            <w:hideMark/>
          </w:tcPr>
          <w:p w14:paraId="302BA00E" w14:textId="77777777" w:rsidR="002539E2" w:rsidRPr="002539E2" w:rsidRDefault="002539E2" w:rsidP="002539E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0.977</w:t>
            </w:r>
          </w:p>
        </w:tc>
        <w:tc>
          <w:tcPr>
            <w:tcW w:w="1657" w:type="dxa"/>
          </w:tcPr>
          <w:p w14:paraId="37BF2A09" w14:textId="480AE32A"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Yield</w:t>
            </w:r>
          </w:p>
        </w:tc>
        <w:tc>
          <w:tcPr>
            <w:tcW w:w="1299" w:type="dxa"/>
          </w:tcPr>
          <w:p w14:paraId="3BBC7615" w14:textId="64B98C6F"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0.007</w:t>
            </w:r>
          </w:p>
        </w:tc>
      </w:tr>
      <w:tr w:rsidR="002539E2" w:rsidRPr="002539E2" w14:paraId="45824A57" w14:textId="3D4D77C9" w:rsidTr="002539E2">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0F5DDA9A" w14:textId="77777777" w:rsidR="002539E2" w:rsidRPr="002539E2" w:rsidRDefault="002539E2" w:rsidP="002539E2">
            <w:pPr>
              <w:spacing w:before="0" w:after="0" w:line="240" w:lineRule="auto"/>
              <w:jc w:val="left"/>
              <w:rPr>
                <w:color w:val="000000"/>
                <w:sz w:val="16"/>
                <w:szCs w:val="18"/>
                <w:lang w:val="en-US" w:eastAsia="en-US"/>
              </w:rPr>
            </w:pPr>
            <w:r w:rsidRPr="002539E2">
              <w:rPr>
                <w:color w:val="000000"/>
                <w:sz w:val="16"/>
                <w:szCs w:val="18"/>
                <w:lang w:val="en-US" w:eastAsia="en-US"/>
              </w:rPr>
              <w:t>R Square</w:t>
            </w:r>
          </w:p>
        </w:tc>
        <w:tc>
          <w:tcPr>
            <w:tcW w:w="1363" w:type="dxa"/>
            <w:noWrap/>
            <w:hideMark/>
          </w:tcPr>
          <w:p w14:paraId="1E97ED96" w14:textId="77777777" w:rsidR="002539E2" w:rsidRPr="002539E2" w:rsidRDefault="002539E2" w:rsidP="002539E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0.955</w:t>
            </w:r>
          </w:p>
        </w:tc>
        <w:tc>
          <w:tcPr>
            <w:tcW w:w="1657" w:type="dxa"/>
          </w:tcPr>
          <w:p w14:paraId="5FF91E5A" w14:textId="07FAF9FE"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Transformation</w:t>
            </w:r>
          </w:p>
        </w:tc>
        <w:tc>
          <w:tcPr>
            <w:tcW w:w="1299" w:type="dxa"/>
          </w:tcPr>
          <w:p w14:paraId="730E55B5" w14:textId="425534DA"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0.402</w:t>
            </w:r>
          </w:p>
        </w:tc>
      </w:tr>
      <w:tr w:rsidR="002539E2" w:rsidRPr="002539E2" w14:paraId="2BFC7792" w14:textId="59D97625" w:rsidTr="002539E2">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326AC3F2" w14:textId="77777777" w:rsidR="002539E2" w:rsidRPr="002539E2" w:rsidRDefault="002539E2" w:rsidP="002539E2">
            <w:pPr>
              <w:spacing w:before="0" w:after="0" w:line="240" w:lineRule="auto"/>
              <w:jc w:val="left"/>
              <w:rPr>
                <w:color w:val="000000"/>
                <w:sz w:val="16"/>
                <w:szCs w:val="18"/>
                <w:lang w:val="en-US" w:eastAsia="en-US"/>
              </w:rPr>
            </w:pPr>
            <w:r w:rsidRPr="002539E2">
              <w:rPr>
                <w:color w:val="000000"/>
                <w:sz w:val="16"/>
                <w:szCs w:val="18"/>
                <w:lang w:val="en-US" w:eastAsia="en-US"/>
              </w:rPr>
              <w:t>Adjusted R Square</w:t>
            </w:r>
          </w:p>
        </w:tc>
        <w:tc>
          <w:tcPr>
            <w:tcW w:w="1363" w:type="dxa"/>
            <w:noWrap/>
            <w:hideMark/>
          </w:tcPr>
          <w:p w14:paraId="44EBFAAC" w14:textId="77777777" w:rsidR="002539E2" w:rsidRPr="002539E2" w:rsidRDefault="002539E2" w:rsidP="002539E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0.299</w:t>
            </w:r>
          </w:p>
        </w:tc>
        <w:tc>
          <w:tcPr>
            <w:tcW w:w="1657" w:type="dxa"/>
          </w:tcPr>
          <w:p w14:paraId="06965950" w14:textId="31112443"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Packing</w:t>
            </w:r>
          </w:p>
        </w:tc>
        <w:tc>
          <w:tcPr>
            <w:tcW w:w="1299" w:type="dxa"/>
          </w:tcPr>
          <w:p w14:paraId="50ED0CCE" w14:textId="79A8E79E"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-0.29</w:t>
            </w:r>
          </w:p>
        </w:tc>
      </w:tr>
      <w:tr w:rsidR="002539E2" w:rsidRPr="002539E2" w14:paraId="70B33D6A" w14:textId="5FCA8AF6" w:rsidTr="002539E2">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0F83E2C6" w14:textId="77777777" w:rsidR="002539E2" w:rsidRPr="002539E2" w:rsidRDefault="002539E2" w:rsidP="002539E2">
            <w:pPr>
              <w:spacing w:before="0" w:after="0" w:line="240" w:lineRule="auto"/>
              <w:jc w:val="left"/>
              <w:rPr>
                <w:color w:val="000000"/>
                <w:sz w:val="16"/>
                <w:szCs w:val="18"/>
                <w:lang w:val="en-US" w:eastAsia="en-US"/>
              </w:rPr>
            </w:pPr>
            <w:r w:rsidRPr="002539E2">
              <w:rPr>
                <w:color w:val="000000"/>
                <w:sz w:val="16"/>
                <w:szCs w:val="18"/>
                <w:lang w:val="en-US" w:eastAsia="en-US"/>
              </w:rPr>
              <w:t>Standard Error</w:t>
            </w:r>
          </w:p>
        </w:tc>
        <w:tc>
          <w:tcPr>
            <w:tcW w:w="1363" w:type="dxa"/>
            <w:noWrap/>
            <w:hideMark/>
          </w:tcPr>
          <w:p w14:paraId="519F8B63" w14:textId="77777777" w:rsidR="002539E2" w:rsidRPr="002539E2" w:rsidRDefault="002539E2" w:rsidP="002539E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0.099</w:t>
            </w:r>
          </w:p>
        </w:tc>
        <w:tc>
          <w:tcPr>
            <w:tcW w:w="1657" w:type="dxa"/>
          </w:tcPr>
          <w:p w14:paraId="7841F53A" w14:textId="114DEB99"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Export</w:t>
            </w:r>
          </w:p>
        </w:tc>
        <w:tc>
          <w:tcPr>
            <w:tcW w:w="1299" w:type="dxa"/>
          </w:tcPr>
          <w:p w14:paraId="1569A790" w14:textId="75540D78"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-0.04</w:t>
            </w:r>
          </w:p>
        </w:tc>
      </w:tr>
      <w:tr w:rsidR="002539E2" w:rsidRPr="002539E2" w14:paraId="452C0D09" w14:textId="349599F9" w:rsidTr="002539E2">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2747ED4B" w14:textId="77777777" w:rsidR="002539E2" w:rsidRPr="002539E2" w:rsidRDefault="002539E2" w:rsidP="002539E2">
            <w:pPr>
              <w:spacing w:before="0" w:after="0" w:line="240" w:lineRule="auto"/>
              <w:jc w:val="left"/>
              <w:rPr>
                <w:color w:val="000000"/>
                <w:sz w:val="16"/>
                <w:szCs w:val="18"/>
                <w:lang w:val="en-US" w:eastAsia="en-US"/>
              </w:rPr>
            </w:pPr>
            <w:r w:rsidRPr="002539E2">
              <w:rPr>
                <w:color w:val="000000"/>
                <w:sz w:val="16"/>
                <w:szCs w:val="18"/>
                <w:lang w:val="en-US" w:eastAsia="en-US"/>
              </w:rPr>
              <w:t>Observations</w:t>
            </w:r>
          </w:p>
        </w:tc>
        <w:tc>
          <w:tcPr>
            <w:tcW w:w="1363" w:type="dxa"/>
            <w:noWrap/>
            <w:hideMark/>
          </w:tcPr>
          <w:p w14:paraId="0D670B60" w14:textId="77777777" w:rsidR="002539E2" w:rsidRPr="002539E2" w:rsidRDefault="002539E2" w:rsidP="002539E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10</w:t>
            </w:r>
          </w:p>
        </w:tc>
        <w:tc>
          <w:tcPr>
            <w:tcW w:w="1657" w:type="dxa"/>
          </w:tcPr>
          <w:p w14:paraId="6A40B627" w14:textId="380B64E3"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Organic production</w:t>
            </w:r>
          </w:p>
        </w:tc>
        <w:tc>
          <w:tcPr>
            <w:tcW w:w="1299" w:type="dxa"/>
          </w:tcPr>
          <w:p w14:paraId="4F98E80F" w14:textId="282A1F59"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0.144</w:t>
            </w:r>
          </w:p>
        </w:tc>
      </w:tr>
      <w:tr w:rsidR="002539E2" w:rsidRPr="002539E2" w14:paraId="03CF2FDB" w14:textId="73016CB9" w:rsidTr="002539E2">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45FCDDB9" w14:textId="77777777" w:rsidR="002539E2" w:rsidRPr="002539E2" w:rsidRDefault="002539E2" w:rsidP="002539E2">
            <w:pPr>
              <w:spacing w:before="0" w:after="0" w:line="240" w:lineRule="auto"/>
              <w:jc w:val="right"/>
              <w:rPr>
                <w:color w:val="000000"/>
                <w:sz w:val="16"/>
                <w:szCs w:val="18"/>
                <w:lang w:val="en-US" w:eastAsia="en-US"/>
              </w:rPr>
            </w:pPr>
          </w:p>
        </w:tc>
        <w:tc>
          <w:tcPr>
            <w:tcW w:w="1363" w:type="dxa"/>
            <w:noWrap/>
            <w:hideMark/>
          </w:tcPr>
          <w:p w14:paraId="10D2D8AD" w14:textId="77777777"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8"/>
                <w:lang w:val="en-US" w:eastAsia="en-US"/>
              </w:rPr>
            </w:pPr>
          </w:p>
        </w:tc>
        <w:tc>
          <w:tcPr>
            <w:tcW w:w="1657" w:type="dxa"/>
          </w:tcPr>
          <w:p w14:paraId="18B4FBC8" w14:textId="18CFEA06"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South America</w:t>
            </w:r>
          </w:p>
        </w:tc>
        <w:tc>
          <w:tcPr>
            <w:tcW w:w="1299" w:type="dxa"/>
          </w:tcPr>
          <w:p w14:paraId="722BE3D2" w14:textId="7B51B008"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0.106</w:t>
            </w:r>
          </w:p>
        </w:tc>
      </w:tr>
      <w:tr w:rsidR="002539E2" w:rsidRPr="002539E2" w14:paraId="701036AD" w14:textId="77777777" w:rsidTr="002539E2">
        <w:trPr>
          <w:trHeight w:val="20"/>
        </w:trPr>
        <w:tc>
          <w:tcPr>
            <w:cnfStyle w:val="001000000000" w:firstRow="0" w:lastRow="0" w:firstColumn="1" w:lastColumn="0" w:oddVBand="0" w:evenVBand="0" w:oddHBand="0" w:evenHBand="0" w:firstRowFirstColumn="0" w:firstRowLastColumn="0" w:lastRowFirstColumn="0" w:lastRowLastColumn="0"/>
            <w:tcW w:w="2139" w:type="dxa"/>
            <w:noWrap/>
          </w:tcPr>
          <w:p w14:paraId="5DADE63C" w14:textId="77777777" w:rsidR="002539E2" w:rsidRPr="002539E2" w:rsidRDefault="002539E2" w:rsidP="002539E2">
            <w:pPr>
              <w:spacing w:before="0" w:after="0" w:line="240" w:lineRule="auto"/>
              <w:jc w:val="right"/>
              <w:rPr>
                <w:color w:val="000000"/>
                <w:sz w:val="16"/>
                <w:szCs w:val="18"/>
                <w:lang w:val="en-US" w:eastAsia="en-US"/>
              </w:rPr>
            </w:pPr>
          </w:p>
        </w:tc>
        <w:tc>
          <w:tcPr>
            <w:tcW w:w="1363" w:type="dxa"/>
            <w:noWrap/>
          </w:tcPr>
          <w:p w14:paraId="7366682E" w14:textId="77777777"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8"/>
                <w:lang w:val="en-US" w:eastAsia="en-US"/>
              </w:rPr>
            </w:pPr>
          </w:p>
        </w:tc>
        <w:tc>
          <w:tcPr>
            <w:tcW w:w="1657" w:type="dxa"/>
          </w:tcPr>
          <w:p w14:paraId="3AB7AB7E" w14:textId="390E7852"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Southern Asia</w:t>
            </w:r>
          </w:p>
        </w:tc>
        <w:tc>
          <w:tcPr>
            <w:tcW w:w="1299" w:type="dxa"/>
          </w:tcPr>
          <w:p w14:paraId="333AC123" w14:textId="7B2AA3CC"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-0.08</w:t>
            </w:r>
          </w:p>
        </w:tc>
      </w:tr>
      <w:tr w:rsidR="002539E2" w:rsidRPr="002539E2" w14:paraId="301BD462" w14:textId="77777777" w:rsidTr="002539E2">
        <w:trPr>
          <w:trHeight w:val="20"/>
        </w:trPr>
        <w:tc>
          <w:tcPr>
            <w:cnfStyle w:val="001000000000" w:firstRow="0" w:lastRow="0" w:firstColumn="1" w:lastColumn="0" w:oddVBand="0" w:evenVBand="0" w:oddHBand="0" w:evenHBand="0" w:firstRowFirstColumn="0" w:firstRowLastColumn="0" w:lastRowFirstColumn="0" w:lastRowLastColumn="0"/>
            <w:tcW w:w="2139" w:type="dxa"/>
            <w:noWrap/>
          </w:tcPr>
          <w:p w14:paraId="3F1CC8CF" w14:textId="77777777" w:rsidR="002539E2" w:rsidRPr="002539E2" w:rsidRDefault="002539E2" w:rsidP="002539E2">
            <w:pPr>
              <w:spacing w:before="0" w:after="0" w:line="240" w:lineRule="auto"/>
              <w:jc w:val="right"/>
              <w:rPr>
                <w:color w:val="000000"/>
                <w:sz w:val="16"/>
                <w:szCs w:val="18"/>
                <w:lang w:val="en-US" w:eastAsia="en-US"/>
              </w:rPr>
            </w:pPr>
          </w:p>
        </w:tc>
        <w:tc>
          <w:tcPr>
            <w:tcW w:w="1363" w:type="dxa"/>
            <w:noWrap/>
          </w:tcPr>
          <w:p w14:paraId="4E5079DA" w14:textId="77777777"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8"/>
                <w:lang w:val="en-US" w:eastAsia="en-US"/>
              </w:rPr>
            </w:pPr>
          </w:p>
        </w:tc>
        <w:tc>
          <w:tcPr>
            <w:tcW w:w="1657" w:type="dxa"/>
          </w:tcPr>
          <w:p w14:paraId="005F7E89" w14:textId="36AF8054"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 xml:space="preserve">Mexico </w:t>
            </w:r>
          </w:p>
        </w:tc>
        <w:tc>
          <w:tcPr>
            <w:tcW w:w="1299" w:type="dxa"/>
          </w:tcPr>
          <w:p w14:paraId="6A85F52E" w14:textId="05DAF05C" w:rsidR="002539E2" w:rsidRPr="002539E2" w:rsidRDefault="002539E2" w:rsidP="002539E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w:t>
            </w:r>
          </w:p>
        </w:tc>
      </w:tr>
    </w:tbl>
    <w:p w14:paraId="3FD74646" w14:textId="77777777" w:rsidR="00297F77" w:rsidRDefault="00297F77" w:rsidP="003D2AD0">
      <w:pPr>
        <w:spacing w:before="0" w:after="0" w:line="240" w:lineRule="auto"/>
        <w:jc w:val="left"/>
      </w:pPr>
    </w:p>
    <w:sectPr w:rsidR="00297F77" w:rsidSect="004C636D">
      <w:pgSz w:w="11909" w:h="16834" w:code="9"/>
      <w:pgMar w:top="1440"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AD0BD" w14:textId="77777777" w:rsidR="00706B92" w:rsidRDefault="00706B92" w:rsidP="009073BA">
      <w:r>
        <w:separator/>
      </w:r>
    </w:p>
  </w:endnote>
  <w:endnote w:type="continuationSeparator" w:id="0">
    <w:p w14:paraId="5FAFA016" w14:textId="77777777" w:rsidR="00706B92" w:rsidRDefault="00706B92" w:rsidP="0090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E325" w14:textId="77777777" w:rsidR="00224A55" w:rsidRDefault="00224A55" w:rsidP="009073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443F082" w14:textId="77777777" w:rsidR="00224A55" w:rsidRDefault="00224A55" w:rsidP="009073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1C155" w14:textId="77777777" w:rsidR="00706B92" w:rsidRDefault="00706B92" w:rsidP="009073BA">
      <w:pPr>
        <w:spacing w:after="0" w:line="240" w:lineRule="auto"/>
      </w:pPr>
      <w:r>
        <w:separator/>
      </w:r>
    </w:p>
  </w:footnote>
  <w:footnote w:type="continuationSeparator" w:id="0">
    <w:p w14:paraId="0DCB5CEC" w14:textId="77777777" w:rsidR="00706B92" w:rsidRDefault="00706B92" w:rsidP="009073BA">
      <w:r>
        <w:continuationSeparator/>
      </w:r>
    </w:p>
  </w:footnote>
  <w:footnote w:id="1">
    <w:p w14:paraId="7F003B05" w14:textId="77777777" w:rsidR="00224A55" w:rsidRPr="001D7D6C" w:rsidRDefault="00224A55" w:rsidP="001D7D6C">
      <w:pPr>
        <w:pStyle w:val="FootnoteText"/>
        <w:spacing w:before="0" w:after="0"/>
        <w:rPr>
          <w:rFonts w:ascii="Arial" w:hAnsi="Arial"/>
          <w:sz w:val="18"/>
          <w:szCs w:val="18"/>
          <w:lang w:val="en-GB"/>
        </w:rPr>
      </w:pPr>
      <w:r w:rsidRPr="001D7D6C">
        <w:rPr>
          <w:rStyle w:val="FootnoteReference"/>
          <w:lang w:val="en-GB"/>
        </w:rPr>
        <w:footnoteRef/>
      </w:r>
      <w:r w:rsidRPr="001D7D6C">
        <w:rPr>
          <w:lang w:val="en-GB"/>
        </w:rPr>
        <w:t xml:space="preserve"> </w:t>
      </w:r>
      <w:r w:rsidRPr="001D7D6C">
        <w:rPr>
          <w:rFonts w:ascii="Arial" w:hAnsi="Arial"/>
          <w:sz w:val="18"/>
          <w:szCs w:val="18"/>
          <w:lang w:val="en-GB"/>
        </w:rPr>
        <w:t xml:space="preserve">The </w:t>
      </w:r>
      <w:r w:rsidRPr="001D7D6C">
        <w:rPr>
          <w:rFonts w:ascii="Arial" w:hAnsi="Arial"/>
          <w:b/>
          <w:sz w:val="18"/>
          <w:szCs w:val="18"/>
          <w:lang w:val="en-GB"/>
        </w:rPr>
        <w:t xml:space="preserve">Fairtrade Minimum Price </w:t>
      </w:r>
      <w:r w:rsidRPr="001D7D6C">
        <w:rPr>
          <w:rFonts w:ascii="Arial" w:hAnsi="Arial"/>
          <w:sz w:val="18"/>
          <w:szCs w:val="18"/>
          <w:lang w:val="en-GB"/>
        </w:rPr>
        <w:t>is the lowest possible price that may be paid by buyers to producers for a product to become certified against the Fairtrade standards</w:t>
      </w:r>
    </w:p>
  </w:footnote>
  <w:footnote w:id="2">
    <w:p w14:paraId="1F1C626D" w14:textId="77777777" w:rsidR="00224A55" w:rsidRPr="001D7D6C" w:rsidRDefault="00224A55" w:rsidP="001D7D6C">
      <w:pPr>
        <w:pStyle w:val="FootnoteText"/>
        <w:spacing w:before="0" w:after="0"/>
        <w:rPr>
          <w:rFonts w:ascii="Arial" w:hAnsi="Arial"/>
          <w:sz w:val="18"/>
          <w:szCs w:val="18"/>
          <w:lang w:val="en-GB"/>
        </w:rPr>
      </w:pPr>
      <w:r w:rsidRPr="001D7D6C">
        <w:rPr>
          <w:rStyle w:val="FootnoteReference"/>
          <w:rFonts w:ascii="Arial" w:hAnsi="Arial"/>
          <w:sz w:val="18"/>
          <w:szCs w:val="18"/>
          <w:lang w:val="en-GB"/>
        </w:rPr>
        <w:footnoteRef/>
      </w:r>
      <w:r w:rsidRPr="001D7D6C">
        <w:rPr>
          <w:rFonts w:ascii="Arial" w:hAnsi="Arial"/>
          <w:sz w:val="18"/>
          <w:szCs w:val="18"/>
          <w:lang w:val="en-GB"/>
        </w:rPr>
        <w:t xml:space="preserve"> The </w:t>
      </w:r>
      <w:r w:rsidRPr="001D7D6C">
        <w:rPr>
          <w:rFonts w:ascii="Arial" w:hAnsi="Arial"/>
          <w:b/>
          <w:sz w:val="18"/>
          <w:szCs w:val="18"/>
          <w:lang w:val="en-GB"/>
        </w:rPr>
        <w:t>Fairtrade Premium</w:t>
      </w:r>
      <w:r w:rsidRPr="001D7D6C">
        <w:rPr>
          <w:rFonts w:ascii="Arial" w:hAnsi="Arial"/>
          <w:sz w:val="18"/>
          <w:szCs w:val="18"/>
          <w:lang w:val="en-GB"/>
        </w:rPr>
        <w:t xml:space="preserve"> is an amount paid to producers in addition to the payment for their products</w:t>
      </w:r>
    </w:p>
  </w:footnote>
  <w:footnote w:id="3">
    <w:p w14:paraId="4D214FBD" w14:textId="693640E6" w:rsidR="00224A55" w:rsidRPr="001F598B" w:rsidRDefault="00224A55" w:rsidP="001D7D6C">
      <w:pPr>
        <w:pStyle w:val="FootnoteText"/>
        <w:spacing w:before="0" w:after="0"/>
        <w:rPr>
          <w:rFonts w:ascii="Arial" w:hAnsi="Arial"/>
          <w:sz w:val="18"/>
          <w:szCs w:val="18"/>
          <w:lang w:val="en-GB"/>
        </w:rPr>
      </w:pPr>
      <w:r w:rsidRPr="001D7D6C">
        <w:rPr>
          <w:rStyle w:val="FootnoteReference"/>
          <w:rFonts w:ascii="Arial" w:hAnsi="Arial"/>
          <w:sz w:val="18"/>
          <w:szCs w:val="18"/>
          <w:lang w:val="en-GB"/>
        </w:rPr>
        <w:footnoteRef/>
      </w:r>
      <w:r w:rsidRPr="001D7D6C">
        <w:rPr>
          <w:rFonts w:ascii="Arial" w:hAnsi="Arial"/>
          <w:sz w:val="18"/>
          <w:szCs w:val="18"/>
          <w:lang w:val="en-GB"/>
        </w:rPr>
        <w:t xml:space="preserve"> Generic COSP tool can be </w:t>
      </w:r>
      <w:r>
        <w:rPr>
          <w:rFonts w:ascii="Arial" w:hAnsi="Arial"/>
          <w:sz w:val="18"/>
          <w:szCs w:val="18"/>
          <w:lang w:val="en-GB"/>
        </w:rPr>
        <w:t>seen</w:t>
      </w:r>
      <w:r w:rsidRPr="001D7D6C">
        <w:rPr>
          <w:rFonts w:ascii="Arial" w:hAnsi="Arial"/>
          <w:sz w:val="18"/>
          <w:szCs w:val="18"/>
          <w:lang w:val="en-GB"/>
        </w:rPr>
        <w:t xml:space="preserve"> </w:t>
      </w:r>
      <w:hyperlink r:id="rId1" w:history="1">
        <w:r w:rsidRPr="001D7D6C">
          <w:rPr>
            <w:rStyle w:val="Hyperlink"/>
            <w:rFonts w:ascii="Arial" w:hAnsi="Arial"/>
            <w:sz w:val="18"/>
            <w:szCs w:val="18"/>
            <w:lang w:val="en-GB"/>
          </w:rPr>
          <w:t>here</w:t>
        </w:r>
      </w:hyperlink>
      <w:r w:rsidRPr="001D7D6C">
        <w:rPr>
          <w:rFonts w:ascii="Arial" w:hAnsi="Arial"/>
          <w:sz w:val="18"/>
          <w:szCs w:val="18"/>
          <w:lang w:val="en-GB"/>
        </w:rPr>
        <w:t xml:space="preserve">. </w:t>
      </w:r>
    </w:p>
  </w:footnote>
  <w:footnote w:id="4">
    <w:p w14:paraId="3AB8B4FB" w14:textId="348A0B9C" w:rsidR="00224A55" w:rsidRPr="00FE45CA" w:rsidRDefault="00224A55">
      <w:pPr>
        <w:pStyle w:val="FootnoteText"/>
        <w:rPr>
          <w:rFonts w:ascii="Arial" w:hAnsi="Arial"/>
          <w:lang w:val="en-GB"/>
        </w:rPr>
      </w:pPr>
      <w:r w:rsidRPr="00890DDD">
        <w:rPr>
          <w:rStyle w:val="FootnoteReference"/>
          <w:rFonts w:ascii="Arial" w:hAnsi="Arial"/>
        </w:rPr>
        <w:footnoteRef/>
      </w:r>
      <w:r w:rsidRPr="00890DDD">
        <w:rPr>
          <w:rFonts w:ascii="Arial" w:hAnsi="Arial"/>
        </w:rPr>
        <w:t xml:space="preserve"> </w:t>
      </w:r>
      <w:r w:rsidRPr="00890DDD">
        <w:rPr>
          <w:rFonts w:ascii="Arial" w:hAnsi="Arial"/>
          <w:lang w:val="en-GB"/>
        </w:rPr>
        <w:t>Please note that in this review, we include what in some Latin American countries is called: “</w:t>
      </w:r>
      <w:r w:rsidRPr="00890DDD">
        <w:rPr>
          <w:rFonts w:ascii="Arial" w:hAnsi="Arial"/>
          <w:lang w:val="en-US"/>
        </w:rPr>
        <w:t>Limón Tahití and Limón Persa</w:t>
      </w:r>
      <w:r w:rsidRPr="00890DDD">
        <w:rPr>
          <w:rFonts w:ascii="Arial" w:hAnsi="Arial"/>
          <w:lang w:val="en-GB"/>
        </w:rPr>
        <w:t>”.</w:t>
      </w:r>
    </w:p>
  </w:footnote>
  <w:footnote w:id="5">
    <w:p w14:paraId="2C3B011A" w14:textId="384CED77" w:rsidR="00224A55" w:rsidRPr="00FE45CA" w:rsidRDefault="00224A55" w:rsidP="008444ED">
      <w:pPr>
        <w:pStyle w:val="FootnoteText"/>
        <w:spacing w:before="0" w:after="0"/>
        <w:rPr>
          <w:rFonts w:ascii="Arial" w:hAnsi="Arial"/>
          <w:lang w:val="en-GB"/>
        </w:rPr>
      </w:pPr>
      <w:r w:rsidRPr="00FE45CA">
        <w:rPr>
          <w:rStyle w:val="FootnoteReference"/>
          <w:rFonts w:ascii="Arial" w:hAnsi="Arial"/>
          <w:lang w:val="en-GB"/>
        </w:rPr>
        <w:footnoteRef/>
      </w:r>
      <w:r w:rsidRPr="00FE45CA">
        <w:rPr>
          <w:rFonts w:ascii="Arial" w:hAnsi="Arial"/>
          <w:lang w:val="en-GB"/>
        </w:rPr>
        <w:t xml:space="preserve"> </w:t>
      </w:r>
      <w:r w:rsidRPr="00FE45CA">
        <w:rPr>
          <w:rFonts w:ascii="Arial" w:hAnsi="Arial"/>
          <w:b/>
          <w:lang w:val="en-GB"/>
        </w:rPr>
        <w:t>Confidentiality:</w:t>
      </w:r>
      <w:r w:rsidRPr="00FE45CA">
        <w:rPr>
          <w:rFonts w:ascii="Arial" w:hAnsi="Arial"/>
          <w:lang w:val="en-GB"/>
        </w:rPr>
        <w:t xml:space="preserve"> All the information we receive from respondents will be treated with care and kept confidential. Results of this consultation will only be communicated in aggregated form. All feedback will be analysed and used to draw up the final proposal. However, when analysing the data, we need to know which responses are from producers, traders, licensees, etc. so we kindly ask you to identify yourself in </w:t>
      </w:r>
      <w:r>
        <w:rPr>
          <w:rFonts w:ascii="Arial" w:hAnsi="Arial"/>
          <w:lang w:val="en-GB"/>
        </w:rPr>
        <w:t>the following</w:t>
      </w:r>
      <w:r w:rsidRPr="00FE45CA">
        <w:rPr>
          <w:rFonts w:ascii="Arial" w:hAnsi="Arial"/>
          <w:lang w:val="en-GB"/>
        </w:rPr>
        <w:t xml:space="preserve"> questions.</w:t>
      </w:r>
    </w:p>
  </w:footnote>
  <w:footnote w:id="6">
    <w:p w14:paraId="3D976B1F" w14:textId="77777777" w:rsidR="00224A55" w:rsidRPr="00FE45CA" w:rsidRDefault="00224A55" w:rsidP="00DD59CB">
      <w:pPr>
        <w:pStyle w:val="FootnoteText"/>
        <w:spacing w:before="0" w:after="0"/>
        <w:rPr>
          <w:rFonts w:ascii="Arial" w:hAnsi="Arial"/>
          <w:lang w:val="en-GB"/>
        </w:rPr>
      </w:pPr>
      <w:r w:rsidRPr="00FE45CA">
        <w:rPr>
          <w:rStyle w:val="FootnoteReference"/>
          <w:rFonts w:ascii="Arial" w:hAnsi="Arial"/>
          <w:lang w:val="en-GB"/>
        </w:rPr>
        <w:footnoteRef/>
      </w:r>
      <w:r w:rsidRPr="00FE45CA">
        <w:rPr>
          <w:rFonts w:ascii="Arial" w:hAnsi="Arial"/>
          <w:lang w:val="en-GB"/>
        </w:rPr>
        <w:t xml:space="preserve"> Fairtrade system staff refer to Fairtrade International, NFO, PN or FLOCERT staff</w:t>
      </w:r>
    </w:p>
  </w:footnote>
  <w:footnote w:id="7">
    <w:p w14:paraId="21DD8BB5" w14:textId="203502D7" w:rsidR="00224A55" w:rsidRPr="00E80B6C" w:rsidRDefault="00224A55" w:rsidP="00356008">
      <w:pPr>
        <w:pStyle w:val="FootnoteText"/>
        <w:spacing w:before="0" w:after="0"/>
        <w:rPr>
          <w:rFonts w:ascii="Arial" w:hAnsi="Arial"/>
          <w:lang w:val="en-GB"/>
        </w:rPr>
      </w:pPr>
      <w:r w:rsidRPr="00E80B6C">
        <w:rPr>
          <w:rStyle w:val="FootnoteReference"/>
          <w:rFonts w:ascii="Arial" w:hAnsi="Arial"/>
          <w:lang w:val="en-GB"/>
        </w:rPr>
        <w:footnoteRef/>
      </w:r>
      <w:r w:rsidRPr="00E80B6C">
        <w:rPr>
          <w:rFonts w:ascii="Arial" w:hAnsi="Arial"/>
          <w:lang w:val="en-GB"/>
        </w:rPr>
        <w:t xml:space="preserve"> See countries included in each region here: </w:t>
      </w:r>
      <w:hyperlink r:id="rId2" w:history="1">
        <w:r w:rsidRPr="00987714">
          <w:rPr>
            <w:rStyle w:val="Hyperlink"/>
            <w:rFonts w:ascii="Arial" w:hAnsi="Arial"/>
            <w:lang w:val="en-GB"/>
          </w:rPr>
          <w:t>https://files.fairtrade.net/standards/Geographical_Scope_Policy_EN.pdf</w:t>
        </w:r>
      </w:hyperlink>
      <w:r>
        <w:rPr>
          <w:rFonts w:ascii="Arial" w:hAnsi="Arial"/>
          <w:lang w:val="en-GB"/>
        </w:rPr>
        <w:t xml:space="preserve"> </w:t>
      </w:r>
    </w:p>
  </w:footnote>
  <w:footnote w:id="8">
    <w:p w14:paraId="272CAD81" w14:textId="3627D92B" w:rsidR="00224A55" w:rsidRPr="002539E2" w:rsidRDefault="00224A55" w:rsidP="00DE3C0A">
      <w:pPr>
        <w:pStyle w:val="FootnoteText"/>
        <w:rPr>
          <w:rFonts w:ascii="Arial" w:hAnsi="Arial"/>
          <w:sz w:val="18"/>
          <w:szCs w:val="18"/>
          <w:lang w:val="en-GB"/>
        </w:rPr>
      </w:pPr>
      <w:r w:rsidRPr="002539E2">
        <w:rPr>
          <w:rStyle w:val="FootnoteReference"/>
          <w:rFonts w:ascii="Arial" w:hAnsi="Arial"/>
          <w:sz w:val="18"/>
          <w:szCs w:val="18"/>
        </w:rPr>
        <w:footnoteRef/>
      </w:r>
      <w:r w:rsidRPr="002539E2">
        <w:rPr>
          <w:rFonts w:ascii="Arial" w:hAnsi="Arial"/>
          <w:sz w:val="18"/>
          <w:szCs w:val="18"/>
        </w:rPr>
        <w:t xml:space="preserve"> </w:t>
      </w:r>
      <w:r w:rsidRPr="002539E2">
        <w:rPr>
          <w:rFonts w:ascii="Arial" w:hAnsi="Arial"/>
          <w:sz w:val="18"/>
          <w:szCs w:val="18"/>
          <w:lang w:val="en-GB"/>
        </w:rPr>
        <w:t xml:space="preserve">Yield (linear explanatory variable), organic/conventional production (as dummy), packing/not packing (as dummy), transformation/not transformation (as dummy), export/not export (as dummy), and the 3 regions with COSP provided (also dummies, </w:t>
      </w:r>
      <w:r w:rsidRPr="002539E2">
        <w:rPr>
          <w:rFonts w:ascii="Arial" w:hAnsi="Arial"/>
          <w:sz w:val="18"/>
          <w:szCs w:val="18"/>
          <w:lang w:val="en-GB" w:eastAsia="en-US"/>
        </w:rPr>
        <w:t>Central America and Mexico and the Caribbean; South America; and Southern Asia.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3BE8" w14:textId="7EB72341" w:rsidR="00224A55" w:rsidRDefault="00224A55" w:rsidP="009073BA">
    <w:pPr>
      <w:pStyle w:val="Header"/>
    </w:pPr>
    <w:r w:rsidRPr="00FE45CA">
      <w:rPr>
        <w:noProof/>
        <w:lang w:val="en-US" w:eastAsia="en-US"/>
      </w:rPr>
      <w:drawing>
        <wp:inline distT="0" distB="0" distL="0" distR="0" wp14:anchorId="396D5FC1" wp14:editId="7C34553E">
          <wp:extent cx="729615" cy="892810"/>
          <wp:effectExtent l="0" t="0" r="0" b="0"/>
          <wp:docPr id="2" name="Picture 4"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29615" cy="89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0DBC"/>
    <w:multiLevelType w:val="hybridMultilevel"/>
    <w:tmpl w:val="554A6B0A"/>
    <w:lvl w:ilvl="0" w:tplc="AE766FA8">
      <w:numFmt w:val="bullet"/>
      <w:lvlText w:val=""/>
      <w:lvlJc w:val="left"/>
      <w:pPr>
        <w:ind w:left="360" w:hanging="360"/>
      </w:pPr>
      <w:rPr>
        <w:rFonts w:ascii="Wingdings" w:eastAsia="Times New Roman" w:hAnsi="Wingdings" w:cs="Arial" w:hint="default"/>
        <w:color w:val="00B9E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AFC7018"/>
    <w:multiLevelType w:val="hybridMultilevel"/>
    <w:tmpl w:val="A6D26F1E"/>
    <w:lvl w:ilvl="0" w:tplc="705261BE">
      <w:start w:val="1"/>
      <w:numFmt w:val="decimal"/>
      <w:pStyle w:val="Heading1"/>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81E52"/>
    <w:multiLevelType w:val="hybridMultilevel"/>
    <w:tmpl w:val="6F44F61E"/>
    <w:lvl w:ilvl="0" w:tplc="6D8AC1AE">
      <w:start w:val="1"/>
      <w:numFmt w:val="bullet"/>
      <w:lvlText w:val=""/>
      <w:lvlJc w:val="left"/>
      <w:pPr>
        <w:ind w:left="720" w:hanging="360"/>
      </w:pPr>
      <w:rPr>
        <w:rFonts w:ascii="Symbol" w:hAnsi="Symbol" w:hint="default"/>
        <w:color w:val="00B9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445451"/>
    <w:multiLevelType w:val="hybridMultilevel"/>
    <w:tmpl w:val="CC80DAB4"/>
    <w:lvl w:ilvl="0" w:tplc="7D22189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D0E06"/>
    <w:multiLevelType w:val="hybridMultilevel"/>
    <w:tmpl w:val="581ED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A75CF"/>
    <w:multiLevelType w:val="hybridMultilevel"/>
    <w:tmpl w:val="5286673C"/>
    <w:lvl w:ilvl="0" w:tplc="F37443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D5FFD"/>
    <w:multiLevelType w:val="multilevel"/>
    <w:tmpl w:val="769004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FF20E6"/>
    <w:multiLevelType w:val="multilevel"/>
    <w:tmpl w:val="76865FC6"/>
    <w:lvl w:ilvl="0">
      <w:start w:val="1"/>
      <w:numFmt w:val="decimal"/>
      <w:lvlText w:val="%1"/>
      <w:lvlJc w:val="left"/>
      <w:pPr>
        <w:ind w:left="360" w:hanging="360"/>
      </w:pPr>
      <w:rPr>
        <w:rFonts w:hint="default"/>
      </w:rPr>
    </w:lvl>
    <w:lvl w:ilvl="1">
      <w:start w:val="1"/>
      <w:numFmt w:val="decimal"/>
      <w:pStyle w:val="Heading2"/>
      <w:lvlText w:val="%1.%2"/>
      <w:lvlJc w:val="left"/>
      <w:pPr>
        <w:ind w:left="10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2"/>
  </w:num>
  <w:num w:numId="4">
    <w:abstractNumId w:val="4"/>
  </w:num>
  <w:num w:numId="5">
    <w:abstractNumId w:val="8"/>
  </w:num>
  <w:num w:numId="6">
    <w:abstractNumId w:val="7"/>
  </w:num>
  <w:num w:numId="7">
    <w:abstractNumId w:val="0"/>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6husZoWZ3ksoJRaDpgBYeUc/+BI6cbNk/QEPnKfPMNBBufPEb6Kn5cOiNPLWjZQ/Vm+HwIIHFf6K4Unxv5Jg==" w:salt="gDoiweZdnBTUA+xDysvN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33"/>
    <w:rsid w:val="000023FC"/>
    <w:rsid w:val="000037A8"/>
    <w:rsid w:val="00003CFB"/>
    <w:rsid w:val="00003E94"/>
    <w:rsid w:val="000052D4"/>
    <w:rsid w:val="00006C4C"/>
    <w:rsid w:val="00007135"/>
    <w:rsid w:val="000106E4"/>
    <w:rsid w:val="00012006"/>
    <w:rsid w:val="00013467"/>
    <w:rsid w:val="00016A4D"/>
    <w:rsid w:val="00016A7C"/>
    <w:rsid w:val="00020003"/>
    <w:rsid w:val="00020253"/>
    <w:rsid w:val="00021937"/>
    <w:rsid w:val="00023DB1"/>
    <w:rsid w:val="00025A6A"/>
    <w:rsid w:val="00025E55"/>
    <w:rsid w:val="00026716"/>
    <w:rsid w:val="000320AD"/>
    <w:rsid w:val="00032117"/>
    <w:rsid w:val="00033693"/>
    <w:rsid w:val="000337D4"/>
    <w:rsid w:val="0004050E"/>
    <w:rsid w:val="000406E7"/>
    <w:rsid w:val="00047182"/>
    <w:rsid w:val="0004741B"/>
    <w:rsid w:val="000531E6"/>
    <w:rsid w:val="000551F1"/>
    <w:rsid w:val="00055729"/>
    <w:rsid w:val="00057B58"/>
    <w:rsid w:val="00057B91"/>
    <w:rsid w:val="00060D7B"/>
    <w:rsid w:val="000617F0"/>
    <w:rsid w:val="00062993"/>
    <w:rsid w:val="0006322C"/>
    <w:rsid w:val="000633D2"/>
    <w:rsid w:val="0006629F"/>
    <w:rsid w:val="00067E0B"/>
    <w:rsid w:val="00070623"/>
    <w:rsid w:val="000717EE"/>
    <w:rsid w:val="00071B68"/>
    <w:rsid w:val="000752F1"/>
    <w:rsid w:val="0007642E"/>
    <w:rsid w:val="000832C7"/>
    <w:rsid w:val="00097B17"/>
    <w:rsid w:val="000A12C5"/>
    <w:rsid w:val="000A22D2"/>
    <w:rsid w:val="000A5311"/>
    <w:rsid w:val="000A5610"/>
    <w:rsid w:val="000A6A80"/>
    <w:rsid w:val="000A6EC7"/>
    <w:rsid w:val="000A78F2"/>
    <w:rsid w:val="000B03D0"/>
    <w:rsid w:val="000B0924"/>
    <w:rsid w:val="000B1B6A"/>
    <w:rsid w:val="000B1FC4"/>
    <w:rsid w:val="000B2220"/>
    <w:rsid w:val="000B307A"/>
    <w:rsid w:val="000B6BE9"/>
    <w:rsid w:val="000C055D"/>
    <w:rsid w:val="000C306B"/>
    <w:rsid w:val="000C317E"/>
    <w:rsid w:val="000C4989"/>
    <w:rsid w:val="000C5C1F"/>
    <w:rsid w:val="000C6427"/>
    <w:rsid w:val="000C75AD"/>
    <w:rsid w:val="000D008B"/>
    <w:rsid w:val="000D02B6"/>
    <w:rsid w:val="000D14E2"/>
    <w:rsid w:val="000D2E6B"/>
    <w:rsid w:val="000D2FE6"/>
    <w:rsid w:val="000D3821"/>
    <w:rsid w:val="000D3FB9"/>
    <w:rsid w:val="000D49DC"/>
    <w:rsid w:val="000D7602"/>
    <w:rsid w:val="000D7B36"/>
    <w:rsid w:val="000E0E22"/>
    <w:rsid w:val="000E27D8"/>
    <w:rsid w:val="000E37F1"/>
    <w:rsid w:val="000E50B8"/>
    <w:rsid w:val="000E5A76"/>
    <w:rsid w:val="000E600D"/>
    <w:rsid w:val="000E6A93"/>
    <w:rsid w:val="000E7F41"/>
    <w:rsid w:val="000F0FD2"/>
    <w:rsid w:val="000F1F04"/>
    <w:rsid w:val="000F4238"/>
    <w:rsid w:val="000F5AE7"/>
    <w:rsid w:val="000F5F3F"/>
    <w:rsid w:val="000F702C"/>
    <w:rsid w:val="000F77F9"/>
    <w:rsid w:val="00101674"/>
    <w:rsid w:val="00101ACC"/>
    <w:rsid w:val="0010453B"/>
    <w:rsid w:val="00113F76"/>
    <w:rsid w:val="00116F74"/>
    <w:rsid w:val="001171CB"/>
    <w:rsid w:val="001174ED"/>
    <w:rsid w:val="00117817"/>
    <w:rsid w:val="00120050"/>
    <w:rsid w:val="00122B79"/>
    <w:rsid w:val="00123297"/>
    <w:rsid w:val="00123AE1"/>
    <w:rsid w:val="00124F1E"/>
    <w:rsid w:val="00126B3C"/>
    <w:rsid w:val="00130C60"/>
    <w:rsid w:val="0013325F"/>
    <w:rsid w:val="00135EA7"/>
    <w:rsid w:val="00136FC5"/>
    <w:rsid w:val="00140042"/>
    <w:rsid w:val="00140491"/>
    <w:rsid w:val="00140EF4"/>
    <w:rsid w:val="00142326"/>
    <w:rsid w:val="001424B1"/>
    <w:rsid w:val="001426A2"/>
    <w:rsid w:val="00143343"/>
    <w:rsid w:val="0014454F"/>
    <w:rsid w:val="0014569F"/>
    <w:rsid w:val="0014592B"/>
    <w:rsid w:val="001463C9"/>
    <w:rsid w:val="00152F3E"/>
    <w:rsid w:val="00153740"/>
    <w:rsid w:val="00154FAE"/>
    <w:rsid w:val="00155B22"/>
    <w:rsid w:val="00160468"/>
    <w:rsid w:val="0016223C"/>
    <w:rsid w:val="00167538"/>
    <w:rsid w:val="001708BA"/>
    <w:rsid w:val="00183E35"/>
    <w:rsid w:val="00185352"/>
    <w:rsid w:val="00185A52"/>
    <w:rsid w:val="00192FE5"/>
    <w:rsid w:val="00195D29"/>
    <w:rsid w:val="00197C1D"/>
    <w:rsid w:val="001A1AFF"/>
    <w:rsid w:val="001A2B44"/>
    <w:rsid w:val="001A3F60"/>
    <w:rsid w:val="001A47CC"/>
    <w:rsid w:val="001A6380"/>
    <w:rsid w:val="001B12F7"/>
    <w:rsid w:val="001B3BDA"/>
    <w:rsid w:val="001B5150"/>
    <w:rsid w:val="001B5949"/>
    <w:rsid w:val="001C0191"/>
    <w:rsid w:val="001C1827"/>
    <w:rsid w:val="001C2EE6"/>
    <w:rsid w:val="001C33F1"/>
    <w:rsid w:val="001C3CF1"/>
    <w:rsid w:val="001C567F"/>
    <w:rsid w:val="001D0764"/>
    <w:rsid w:val="001D385E"/>
    <w:rsid w:val="001D390B"/>
    <w:rsid w:val="001D6A15"/>
    <w:rsid w:val="001D7D6C"/>
    <w:rsid w:val="001E2427"/>
    <w:rsid w:val="001E6F6A"/>
    <w:rsid w:val="001E7578"/>
    <w:rsid w:val="001E7700"/>
    <w:rsid w:val="001F5198"/>
    <w:rsid w:val="001F598B"/>
    <w:rsid w:val="001F5D83"/>
    <w:rsid w:val="001F69D0"/>
    <w:rsid w:val="001F766F"/>
    <w:rsid w:val="001F7ADE"/>
    <w:rsid w:val="00200C77"/>
    <w:rsid w:val="00202062"/>
    <w:rsid w:val="00202F42"/>
    <w:rsid w:val="00203DE5"/>
    <w:rsid w:val="002046EC"/>
    <w:rsid w:val="0020588C"/>
    <w:rsid w:val="00207223"/>
    <w:rsid w:val="00210C36"/>
    <w:rsid w:val="0021370A"/>
    <w:rsid w:val="00214385"/>
    <w:rsid w:val="0022370E"/>
    <w:rsid w:val="00224A55"/>
    <w:rsid w:val="00226085"/>
    <w:rsid w:val="00226BB3"/>
    <w:rsid w:val="002271F4"/>
    <w:rsid w:val="00230604"/>
    <w:rsid w:val="0023316F"/>
    <w:rsid w:val="0023346D"/>
    <w:rsid w:val="002343F6"/>
    <w:rsid w:val="00235EC5"/>
    <w:rsid w:val="002363D1"/>
    <w:rsid w:val="00237FE7"/>
    <w:rsid w:val="00240E4B"/>
    <w:rsid w:val="00243BDB"/>
    <w:rsid w:val="00243EC0"/>
    <w:rsid w:val="002501DF"/>
    <w:rsid w:val="00251CCB"/>
    <w:rsid w:val="00251DCE"/>
    <w:rsid w:val="002539E2"/>
    <w:rsid w:val="00254D51"/>
    <w:rsid w:val="0025528E"/>
    <w:rsid w:val="00261DB9"/>
    <w:rsid w:val="0026472B"/>
    <w:rsid w:val="00265828"/>
    <w:rsid w:val="002711A6"/>
    <w:rsid w:val="00271FB6"/>
    <w:rsid w:val="002735CA"/>
    <w:rsid w:val="002762B2"/>
    <w:rsid w:val="00276C9B"/>
    <w:rsid w:val="00280B16"/>
    <w:rsid w:val="0028297A"/>
    <w:rsid w:val="0028308D"/>
    <w:rsid w:val="00284AE8"/>
    <w:rsid w:val="00284DCE"/>
    <w:rsid w:val="002871BE"/>
    <w:rsid w:val="002902CD"/>
    <w:rsid w:val="002905C7"/>
    <w:rsid w:val="00290A6F"/>
    <w:rsid w:val="0029349E"/>
    <w:rsid w:val="002945E6"/>
    <w:rsid w:val="0029525C"/>
    <w:rsid w:val="00297F77"/>
    <w:rsid w:val="002A030C"/>
    <w:rsid w:val="002A1488"/>
    <w:rsid w:val="002A3AD3"/>
    <w:rsid w:val="002A3F88"/>
    <w:rsid w:val="002A5B64"/>
    <w:rsid w:val="002B2496"/>
    <w:rsid w:val="002B5263"/>
    <w:rsid w:val="002B728A"/>
    <w:rsid w:val="002B7BFA"/>
    <w:rsid w:val="002C0FDB"/>
    <w:rsid w:val="002C190F"/>
    <w:rsid w:val="002C286E"/>
    <w:rsid w:val="002C38EC"/>
    <w:rsid w:val="002C4B4B"/>
    <w:rsid w:val="002C5C21"/>
    <w:rsid w:val="002C7AE1"/>
    <w:rsid w:val="002C7B22"/>
    <w:rsid w:val="002D1D97"/>
    <w:rsid w:val="002D2AB7"/>
    <w:rsid w:val="002D2AD1"/>
    <w:rsid w:val="002D345F"/>
    <w:rsid w:val="002E59D7"/>
    <w:rsid w:val="002E5D59"/>
    <w:rsid w:val="002E6419"/>
    <w:rsid w:val="002E6685"/>
    <w:rsid w:val="002E77B6"/>
    <w:rsid w:val="002E7F4A"/>
    <w:rsid w:val="002F053C"/>
    <w:rsid w:val="002F3DA7"/>
    <w:rsid w:val="002F463F"/>
    <w:rsid w:val="002F48DE"/>
    <w:rsid w:val="002F4BB9"/>
    <w:rsid w:val="002F641E"/>
    <w:rsid w:val="002F7429"/>
    <w:rsid w:val="003022FA"/>
    <w:rsid w:val="00302607"/>
    <w:rsid w:val="0030291E"/>
    <w:rsid w:val="003101C4"/>
    <w:rsid w:val="00310CD9"/>
    <w:rsid w:val="0031193F"/>
    <w:rsid w:val="00312C81"/>
    <w:rsid w:val="00316CD3"/>
    <w:rsid w:val="00322E95"/>
    <w:rsid w:val="003234A0"/>
    <w:rsid w:val="00324782"/>
    <w:rsid w:val="00330667"/>
    <w:rsid w:val="00332D91"/>
    <w:rsid w:val="00340943"/>
    <w:rsid w:val="00343616"/>
    <w:rsid w:val="00344C49"/>
    <w:rsid w:val="00345400"/>
    <w:rsid w:val="0034675E"/>
    <w:rsid w:val="003508FE"/>
    <w:rsid w:val="003513CF"/>
    <w:rsid w:val="003527E6"/>
    <w:rsid w:val="00355310"/>
    <w:rsid w:val="00355C8B"/>
    <w:rsid w:val="00356008"/>
    <w:rsid w:val="00360D47"/>
    <w:rsid w:val="003703C9"/>
    <w:rsid w:val="00373363"/>
    <w:rsid w:val="00374ECB"/>
    <w:rsid w:val="003755C7"/>
    <w:rsid w:val="00376FB1"/>
    <w:rsid w:val="0037780A"/>
    <w:rsid w:val="00377FEC"/>
    <w:rsid w:val="00380163"/>
    <w:rsid w:val="003808D9"/>
    <w:rsid w:val="00381686"/>
    <w:rsid w:val="00381AB3"/>
    <w:rsid w:val="00381CE9"/>
    <w:rsid w:val="003843EA"/>
    <w:rsid w:val="00385E4D"/>
    <w:rsid w:val="0038648F"/>
    <w:rsid w:val="003868DC"/>
    <w:rsid w:val="00387BA8"/>
    <w:rsid w:val="00390ADB"/>
    <w:rsid w:val="003948A8"/>
    <w:rsid w:val="00396337"/>
    <w:rsid w:val="003A06FE"/>
    <w:rsid w:val="003A2A24"/>
    <w:rsid w:val="003A3C4D"/>
    <w:rsid w:val="003A470F"/>
    <w:rsid w:val="003A47C6"/>
    <w:rsid w:val="003A6106"/>
    <w:rsid w:val="003A7416"/>
    <w:rsid w:val="003B4D0B"/>
    <w:rsid w:val="003C0848"/>
    <w:rsid w:val="003C14ED"/>
    <w:rsid w:val="003C2B96"/>
    <w:rsid w:val="003C3BD6"/>
    <w:rsid w:val="003C3DD7"/>
    <w:rsid w:val="003D2AD0"/>
    <w:rsid w:val="003D39C3"/>
    <w:rsid w:val="003D3C15"/>
    <w:rsid w:val="003D631B"/>
    <w:rsid w:val="003D6AB2"/>
    <w:rsid w:val="003E2F83"/>
    <w:rsid w:val="003E4667"/>
    <w:rsid w:val="003E506F"/>
    <w:rsid w:val="003E6A11"/>
    <w:rsid w:val="003F1520"/>
    <w:rsid w:val="003F5923"/>
    <w:rsid w:val="004008D9"/>
    <w:rsid w:val="00410CEC"/>
    <w:rsid w:val="00412285"/>
    <w:rsid w:val="00413666"/>
    <w:rsid w:val="00414464"/>
    <w:rsid w:val="00416A49"/>
    <w:rsid w:val="00420439"/>
    <w:rsid w:val="00422649"/>
    <w:rsid w:val="0042446F"/>
    <w:rsid w:val="00424C8C"/>
    <w:rsid w:val="004258B0"/>
    <w:rsid w:val="00425C03"/>
    <w:rsid w:val="00427C87"/>
    <w:rsid w:val="00430D40"/>
    <w:rsid w:val="0043109A"/>
    <w:rsid w:val="00432AC6"/>
    <w:rsid w:val="0043438E"/>
    <w:rsid w:val="004363AC"/>
    <w:rsid w:val="00436563"/>
    <w:rsid w:val="00440352"/>
    <w:rsid w:val="00440E52"/>
    <w:rsid w:val="00441C77"/>
    <w:rsid w:val="00443928"/>
    <w:rsid w:val="00443E33"/>
    <w:rsid w:val="004446A9"/>
    <w:rsid w:val="00446682"/>
    <w:rsid w:val="004516BB"/>
    <w:rsid w:val="00451723"/>
    <w:rsid w:val="00452E06"/>
    <w:rsid w:val="00457D06"/>
    <w:rsid w:val="00461BC5"/>
    <w:rsid w:val="00462BCC"/>
    <w:rsid w:val="0046688A"/>
    <w:rsid w:val="004707DC"/>
    <w:rsid w:val="0047188C"/>
    <w:rsid w:val="00473FD6"/>
    <w:rsid w:val="00474CAB"/>
    <w:rsid w:val="00477AAE"/>
    <w:rsid w:val="00480064"/>
    <w:rsid w:val="00480647"/>
    <w:rsid w:val="00480BDB"/>
    <w:rsid w:val="004823AF"/>
    <w:rsid w:val="00482978"/>
    <w:rsid w:val="00482F2F"/>
    <w:rsid w:val="00482FA8"/>
    <w:rsid w:val="0048476E"/>
    <w:rsid w:val="00491E64"/>
    <w:rsid w:val="0049713E"/>
    <w:rsid w:val="0049729C"/>
    <w:rsid w:val="004A1ABC"/>
    <w:rsid w:val="004A2A5C"/>
    <w:rsid w:val="004A4A41"/>
    <w:rsid w:val="004A796A"/>
    <w:rsid w:val="004B0176"/>
    <w:rsid w:val="004B2903"/>
    <w:rsid w:val="004B4912"/>
    <w:rsid w:val="004B613D"/>
    <w:rsid w:val="004B7BEB"/>
    <w:rsid w:val="004C5A2A"/>
    <w:rsid w:val="004C636D"/>
    <w:rsid w:val="004C64A7"/>
    <w:rsid w:val="004C7FA8"/>
    <w:rsid w:val="004D004B"/>
    <w:rsid w:val="004D0A6A"/>
    <w:rsid w:val="004D176D"/>
    <w:rsid w:val="004D1843"/>
    <w:rsid w:val="004D2B49"/>
    <w:rsid w:val="004D347C"/>
    <w:rsid w:val="004D48C9"/>
    <w:rsid w:val="004D5B8F"/>
    <w:rsid w:val="004D790D"/>
    <w:rsid w:val="004E02F7"/>
    <w:rsid w:val="004E1A37"/>
    <w:rsid w:val="004E4A02"/>
    <w:rsid w:val="004E5221"/>
    <w:rsid w:val="004E5F8B"/>
    <w:rsid w:val="004E72C7"/>
    <w:rsid w:val="004F0804"/>
    <w:rsid w:val="004F1C1F"/>
    <w:rsid w:val="004F263B"/>
    <w:rsid w:val="004F5684"/>
    <w:rsid w:val="004F5CDD"/>
    <w:rsid w:val="004F6E8F"/>
    <w:rsid w:val="004F744F"/>
    <w:rsid w:val="00500865"/>
    <w:rsid w:val="00502024"/>
    <w:rsid w:val="00502115"/>
    <w:rsid w:val="0050219B"/>
    <w:rsid w:val="00504810"/>
    <w:rsid w:val="00505648"/>
    <w:rsid w:val="00505BE5"/>
    <w:rsid w:val="00514550"/>
    <w:rsid w:val="00515A05"/>
    <w:rsid w:val="005165AC"/>
    <w:rsid w:val="00516A97"/>
    <w:rsid w:val="005213D2"/>
    <w:rsid w:val="005220E5"/>
    <w:rsid w:val="005262DD"/>
    <w:rsid w:val="00526710"/>
    <w:rsid w:val="005276B7"/>
    <w:rsid w:val="00531330"/>
    <w:rsid w:val="00533D86"/>
    <w:rsid w:val="005356BA"/>
    <w:rsid w:val="00536621"/>
    <w:rsid w:val="0053795D"/>
    <w:rsid w:val="00541F4C"/>
    <w:rsid w:val="00542D45"/>
    <w:rsid w:val="00543E74"/>
    <w:rsid w:val="00544552"/>
    <w:rsid w:val="00545843"/>
    <w:rsid w:val="00545D54"/>
    <w:rsid w:val="00547E84"/>
    <w:rsid w:val="00547EE5"/>
    <w:rsid w:val="00552D2B"/>
    <w:rsid w:val="005541B5"/>
    <w:rsid w:val="00555F4C"/>
    <w:rsid w:val="00556F1F"/>
    <w:rsid w:val="005579EB"/>
    <w:rsid w:val="005616FE"/>
    <w:rsid w:val="00562730"/>
    <w:rsid w:val="00564453"/>
    <w:rsid w:val="00566DDC"/>
    <w:rsid w:val="0057055A"/>
    <w:rsid w:val="005730DC"/>
    <w:rsid w:val="00574AF1"/>
    <w:rsid w:val="00575498"/>
    <w:rsid w:val="00575DCA"/>
    <w:rsid w:val="0058005D"/>
    <w:rsid w:val="0058376A"/>
    <w:rsid w:val="00584F43"/>
    <w:rsid w:val="00586B47"/>
    <w:rsid w:val="00587697"/>
    <w:rsid w:val="00590BEE"/>
    <w:rsid w:val="00594968"/>
    <w:rsid w:val="00596CA3"/>
    <w:rsid w:val="00596EF4"/>
    <w:rsid w:val="005A013C"/>
    <w:rsid w:val="005A2253"/>
    <w:rsid w:val="005A2CAD"/>
    <w:rsid w:val="005A355F"/>
    <w:rsid w:val="005A6563"/>
    <w:rsid w:val="005A6FBE"/>
    <w:rsid w:val="005B1F59"/>
    <w:rsid w:val="005B3248"/>
    <w:rsid w:val="005B65C3"/>
    <w:rsid w:val="005B7002"/>
    <w:rsid w:val="005B742A"/>
    <w:rsid w:val="005C058E"/>
    <w:rsid w:val="005C0B3F"/>
    <w:rsid w:val="005C1513"/>
    <w:rsid w:val="005C19D5"/>
    <w:rsid w:val="005C1B53"/>
    <w:rsid w:val="005C34CF"/>
    <w:rsid w:val="005C3BAA"/>
    <w:rsid w:val="005C4830"/>
    <w:rsid w:val="005C4D72"/>
    <w:rsid w:val="005C65D4"/>
    <w:rsid w:val="005C6D3A"/>
    <w:rsid w:val="005D0F33"/>
    <w:rsid w:val="005D2F0A"/>
    <w:rsid w:val="005D73EE"/>
    <w:rsid w:val="005D786C"/>
    <w:rsid w:val="005E0883"/>
    <w:rsid w:val="005E11F4"/>
    <w:rsid w:val="005E21FE"/>
    <w:rsid w:val="005E2559"/>
    <w:rsid w:val="005E2D12"/>
    <w:rsid w:val="005E3EEE"/>
    <w:rsid w:val="005E58A2"/>
    <w:rsid w:val="005F189D"/>
    <w:rsid w:val="005F19AE"/>
    <w:rsid w:val="005F21F4"/>
    <w:rsid w:val="005F416A"/>
    <w:rsid w:val="005F5C4C"/>
    <w:rsid w:val="0060160E"/>
    <w:rsid w:val="00601A8A"/>
    <w:rsid w:val="006029E7"/>
    <w:rsid w:val="00604D76"/>
    <w:rsid w:val="00605418"/>
    <w:rsid w:val="00606943"/>
    <w:rsid w:val="00606E2A"/>
    <w:rsid w:val="00607731"/>
    <w:rsid w:val="006117E1"/>
    <w:rsid w:val="006122D3"/>
    <w:rsid w:val="006123B5"/>
    <w:rsid w:val="006139E6"/>
    <w:rsid w:val="00616779"/>
    <w:rsid w:val="00616ABA"/>
    <w:rsid w:val="00616BA7"/>
    <w:rsid w:val="00621A90"/>
    <w:rsid w:val="00621FA1"/>
    <w:rsid w:val="006220BB"/>
    <w:rsid w:val="00625214"/>
    <w:rsid w:val="006266E7"/>
    <w:rsid w:val="00627B56"/>
    <w:rsid w:val="00630CC4"/>
    <w:rsid w:val="00637D81"/>
    <w:rsid w:val="00640F45"/>
    <w:rsid w:val="00643CD8"/>
    <w:rsid w:val="006456C4"/>
    <w:rsid w:val="00650F04"/>
    <w:rsid w:val="006510CE"/>
    <w:rsid w:val="00653917"/>
    <w:rsid w:val="00653CA6"/>
    <w:rsid w:val="00660D87"/>
    <w:rsid w:val="006619A4"/>
    <w:rsid w:val="00661E91"/>
    <w:rsid w:val="00662579"/>
    <w:rsid w:val="006646C4"/>
    <w:rsid w:val="006669C5"/>
    <w:rsid w:val="00666CB6"/>
    <w:rsid w:val="00666F4B"/>
    <w:rsid w:val="00671A67"/>
    <w:rsid w:val="00671E8E"/>
    <w:rsid w:val="00674600"/>
    <w:rsid w:val="00676054"/>
    <w:rsid w:val="006823A3"/>
    <w:rsid w:val="00682AB0"/>
    <w:rsid w:val="00683B94"/>
    <w:rsid w:val="006864DD"/>
    <w:rsid w:val="00687C85"/>
    <w:rsid w:val="006902DA"/>
    <w:rsid w:val="00690A7D"/>
    <w:rsid w:val="00692271"/>
    <w:rsid w:val="00692902"/>
    <w:rsid w:val="006932A2"/>
    <w:rsid w:val="00693791"/>
    <w:rsid w:val="00697E64"/>
    <w:rsid w:val="006A1AC4"/>
    <w:rsid w:val="006A1D99"/>
    <w:rsid w:val="006A631F"/>
    <w:rsid w:val="006B23D5"/>
    <w:rsid w:val="006B3066"/>
    <w:rsid w:val="006B440B"/>
    <w:rsid w:val="006B527B"/>
    <w:rsid w:val="006B5505"/>
    <w:rsid w:val="006B5BB7"/>
    <w:rsid w:val="006B7372"/>
    <w:rsid w:val="006B75D1"/>
    <w:rsid w:val="006B76F2"/>
    <w:rsid w:val="006C0954"/>
    <w:rsid w:val="006C16B2"/>
    <w:rsid w:val="006C1B96"/>
    <w:rsid w:val="006C33EB"/>
    <w:rsid w:val="006C67E2"/>
    <w:rsid w:val="006C7414"/>
    <w:rsid w:val="006C7562"/>
    <w:rsid w:val="006D0AB8"/>
    <w:rsid w:val="006D3CC1"/>
    <w:rsid w:val="006D4EC3"/>
    <w:rsid w:val="006D6C8B"/>
    <w:rsid w:val="006D6E7E"/>
    <w:rsid w:val="006E1CD3"/>
    <w:rsid w:val="006E422D"/>
    <w:rsid w:val="006E56E7"/>
    <w:rsid w:val="006E60B9"/>
    <w:rsid w:val="006F48A3"/>
    <w:rsid w:val="006F4E1A"/>
    <w:rsid w:val="00700DA8"/>
    <w:rsid w:val="007019B7"/>
    <w:rsid w:val="00702EC1"/>
    <w:rsid w:val="00705132"/>
    <w:rsid w:val="00705F43"/>
    <w:rsid w:val="00706B92"/>
    <w:rsid w:val="00707372"/>
    <w:rsid w:val="00707B75"/>
    <w:rsid w:val="00711328"/>
    <w:rsid w:val="00714405"/>
    <w:rsid w:val="007152FC"/>
    <w:rsid w:val="00715453"/>
    <w:rsid w:val="00715D77"/>
    <w:rsid w:val="00721117"/>
    <w:rsid w:val="00723A05"/>
    <w:rsid w:val="007248C6"/>
    <w:rsid w:val="007265C7"/>
    <w:rsid w:val="007274B1"/>
    <w:rsid w:val="00731444"/>
    <w:rsid w:val="00734370"/>
    <w:rsid w:val="00734BAF"/>
    <w:rsid w:val="0073595C"/>
    <w:rsid w:val="00735DBD"/>
    <w:rsid w:val="0073798A"/>
    <w:rsid w:val="007379CC"/>
    <w:rsid w:val="00737DF7"/>
    <w:rsid w:val="00740DE3"/>
    <w:rsid w:val="00742E97"/>
    <w:rsid w:val="0074663A"/>
    <w:rsid w:val="00746C0F"/>
    <w:rsid w:val="00751555"/>
    <w:rsid w:val="00751BFE"/>
    <w:rsid w:val="007529A4"/>
    <w:rsid w:val="00754C5F"/>
    <w:rsid w:val="0075555E"/>
    <w:rsid w:val="00757D44"/>
    <w:rsid w:val="007624E6"/>
    <w:rsid w:val="007649C2"/>
    <w:rsid w:val="007666F1"/>
    <w:rsid w:val="0076745C"/>
    <w:rsid w:val="00772049"/>
    <w:rsid w:val="00775F32"/>
    <w:rsid w:val="007807E8"/>
    <w:rsid w:val="00781967"/>
    <w:rsid w:val="00781D17"/>
    <w:rsid w:val="00781E1E"/>
    <w:rsid w:val="00781E62"/>
    <w:rsid w:val="007829B4"/>
    <w:rsid w:val="00783094"/>
    <w:rsid w:val="00784E02"/>
    <w:rsid w:val="007905AC"/>
    <w:rsid w:val="00794015"/>
    <w:rsid w:val="0079404B"/>
    <w:rsid w:val="00796FD5"/>
    <w:rsid w:val="0079784C"/>
    <w:rsid w:val="007A2BD7"/>
    <w:rsid w:val="007A58F0"/>
    <w:rsid w:val="007A7B19"/>
    <w:rsid w:val="007B3094"/>
    <w:rsid w:val="007B39D2"/>
    <w:rsid w:val="007B6A9A"/>
    <w:rsid w:val="007C4002"/>
    <w:rsid w:val="007C7CEE"/>
    <w:rsid w:val="007C7F54"/>
    <w:rsid w:val="007D16DC"/>
    <w:rsid w:val="007D1BD0"/>
    <w:rsid w:val="007D1E38"/>
    <w:rsid w:val="007E0687"/>
    <w:rsid w:val="007E1A03"/>
    <w:rsid w:val="007E6CFB"/>
    <w:rsid w:val="007E71D9"/>
    <w:rsid w:val="007F1F3C"/>
    <w:rsid w:val="007F2E5C"/>
    <w:rsid w:val="007F64A5"/>
    <w:rsid w:val="007F65BD"/>
    <w:rsid w:val="007F6B78"/>
    <w:rsid w:val="00800481"/>
    <w:rsid w:val="008010CA"/>
    <w:rsid w:val="00802548"/>
    <w:rsid w:val="008056EE"/>
    <w:rsid w:val="00806B1A"/>
    <w:rsid w:val="00806EF8"/>
    <w:rsid w:val="008108E9"/>
    <w:rsid w:val="00813B0D"/>
    <w:rsid w:val="008151FA"/>
    <w:rsid w:val="0081666E"/>
    <w:rsid w:val="00816A1A"/>
    <w:rsid w:val="00817394"/>
    <w:rsid w:val="00817887"/>
    <w:rsid w:val="00820EB1"/>
    <w:rsid w:val="00822D81"/>
    <w:rsid w:val="0082379C"/>
    <w:rsid w:val="00823AB1"/>
    <w:rsid w:val="00823CD2"/>
    <w:rsid w:val="008275B8"/>
    <w:rsid w:val="00833B25"/>
    <w:rsid w:val="008371A2"/>
    <w:rsid w:val="008444ED"/>
    <w:rsid w:val="00844910"/>
    <w:rsid w:val="00845AC0"/>
    <w:rsid w:val="008501C5"/>
    <w:rsid w:val="00852DB5"/>
    <w:rsid w:val="008562BD"/>
    <w:rsid w:val="00856748"/>
    <w:rsid w:val="00862241"/>
    <w:rsid w:val="008633D4"/>
    <w:rsid w:val="008666AF"/>
    <w:rsid w:val="008701FE"/>
    <w:rsid w:val="00871A90"/>
    <w:rsid w:val="00871BC3"/>
    <w:rsid w:val="00875BFF"/>
    <w:rsid w:val="0087763E"/>
    <w:rsid w:val="00881F3B"/>
    <w:rsid w:val="00883FDD"/>
    <w:rsid w:val="00885F1B"/>
    <w:rsid w:val="00886923"/>
    <w:rsid w:val="00886ECE"/>
    <w:rsid w:val="00887EDE"/>
    <w:rsid w:val="008903E9"/>
    <w:rsid w:val="00890DDD"/>
    <w:rsid w:val="0089110E"/>
    <w:rsid w:val="00891229"/>
    <w:rsid w:val="00891C5B"/>
    <w:rsid w:val="00893701"/>
    <w:rsid w:val="00894582"/>
    <w:rsid w:val="00896560"/>
    <w:rsid w:val="008965C5"/>
    <w:rsid w:val="00897610"/>
    <w:rsid w:val="0089785B"/>
    <w:rsid w:val="008A0C8D"/>
    <w:rsid w:val="008A1521"/>
    <w:rsid w:val="008A1E8A"/>
    <w:rsid w:val="008A2F06"/>
    <w:rsid w:val="008A472A"/>
    <w:rsid w:val="008A7780"/>
    <w:rsid w:val="008B03EC"/>
    <w:rsid w:val="008B068E"/>
    <w:rsid w:val="008B28D0"/>
    <w:rsid w:val="008B3C3C"/>
    <w:rsid w:val="008B724A"/>
    <w:rsid w:val="008B7813"/>
    <w:rsid w:val="008C1935"/>
    <w:rsid w:val="008C2429"/>
    <w:rsid w:val="008C34A7"/>
    <w:rsid w:val="008C57AE"/>
    <w:rsid w:val="008D0A01"/>
    <w:rsid w:val="008D774F"/>
    <w:rsid w:val="008D7E52"/>
    <w:rsid w:val="008E10B9"/>
    <w:rsid w:val="008E24D6"/>
    <w:rsid w:val="008E3CD1"/>
    <w:rsid w:val="008E4C0F"/>
    <w:rsid w:val="008E5C03"/>
    <w:rsid w:val="008E5D96"/>
    <w:rsid w:val="008E65B5"/>
    <w:rsid w:val="008E7A37"/>
    <w:rsid w:val="008E7C51"/>
    <w:rsid w:val="008F30D6"/>
    <w:rsid w:val="008F3953"/>
    <w:rsid w:val="009028CA"/>
    <w:rsid w:val="00902F33"/>
    <w:rsid w:val="009073BA"/>
    <w:rsid w:val="00913318"/>
    <w:rsid w:val="009146AB"/>
    <w:rsid w:val="00914D71"/>
    <w:rsid w:val="00921E2A"/>
    <w:rsid w:val="00922648"/>
    <w:rsid w:val="00922CF8"/>
    <w:rsid w:val="00934774"/>
    <w:rsid w:val="00934817"/>
    <w:rsid w:val="00935C02"/>
    <w:rsid w:val="00936EE7"/>
    <w:rsid w:val="009370E8"/>
    <w:rsid w:val="00943C60"/>
    <w:rsid w:val="0095128F"/>
    <w:rsid w:val="00952ACE"/>
    <w:rsid w:val="0095440E"/>
    <w:rsid w:val="00955207"/>
    <w:rsid w:val="0095595E"/>
    <w:rsid w:val="00956D02"/>
    <w:rsid w:val="0095755D"/>
    <w:rsid w:val="009601FB"/>
    <w:rsid w:val="00960300"/>
    <w:rsid w:val="00961FCB"/>
    <w:rsid w:val="00962D13"/>
    <w:rsid w:val="00962E19"/>
    <w:rsid w:val="00963E86"/>
    <w:rsid w:val="00964EF0"/>
    <w:rsid w:val="00965797"/>
    <w:rsid w:val="0096585E"/>
    <w:rsid w:val="009666CD"/>
    <w:rsid w:val="00967E44"/>
    <w:rsid w:val="0097157E"/>
    <w:rsid w:val="00972C27"/>
    <w:rsid w:val="00972E72"/>
    <w:rsid w:val="00973989"/>
    <w:rsid w:val="00973EBD"/>
    <w:rsid w:val="00975B40"/>
    <w:rsid w:val="00975F63"/>
    <w:rsid w:val="00976B8E"/>
    <w:rsid w:val="00981BA0"/>
    <w:rsid w:val="009840E0"/>
    <w:rsid w:val="00985AD7"/>
    <w:rsid w:val="00986652"/>
    <w:rsid w:val="00991051"/>
    <w:rsid w:val="009911FB"/>
    <w:rsid w:val="009912EA"/>
    <w:rsid w:val="009928D9"/>
    <w:rsid w:val="0099610E"/>
    <w:rsid w:val="009A03F5"/>
    <w:rsid w:val="009A1CEC"/>
    <w:rsid w:val="009A2FF2"/>
    <w:rsid w:val="009A3F30"/>
    <w:rsid w:val="009A4D00"/>
    <w:rsid w:val="009A5E50"/>
    <w:rsid w:val="009A7949"/>
    <w:rsid w:val="009B2298"/>
    <w:rsid w:val="009B2DE4"/>
    <w:rsid w:val="009B486A"/>
    <w:rsid w:val="009B76D9"/>
    <w:rsid w:val="009C44B0"/>
    <w:rsid w:val="009C5043"/>
    <w:rsid w:val="009D16BB"/>
    <w:rsid w:val="009D3E57"/>
    <w:rsid w:val="009D530E"/>
    <w:rsid w:val="009D696A"/>
    <w:rsid w:val="009D7428"/>
    <w:rsid w:val="009E15B2"/>
    <w:rsid w:val="009E6D53"/>
    <w:rsid w:val="009F04B8"/>
    <w:rsid w:val="009F7927"/>
    <w:rsid w:val="00A00A8E"/>
    <w:rsid w:val="00A05FCE"/>
    <w:rsid w:val="00A07255"/>
    <w:rsid w:val="00A07FC5"/>
    <w:rsid w:val="00A1234D"/>
    <w:rsid w:val="00A141A6"/>
    <w:rsid w:val="00A16077"/>
    <w:rsid w:val="00A241E6"/>
    <w:rsid w:val="00A261BA"/>
    <w:rsid w:val="00A33252"/>
    <w:rsid w:val="00A345CB"/>
    <w:rsid w:val="00A34FFD"/>
    <w:rsid w:val="00A4007B"/>
    <w:rsid w:val="00A40B5B"/>
    <w:rsid w:val="00A412D4"/>
    <w:rsid w:val="00A43581"/>
    <w:rsid w:val="00A445C6"/>
    <w:rsid w:val="00A44FAD"/>
    <w:rsid w:val="00A455D5"/>
    <w:rsid w:val="00A46927"/>
    <w:rsid w:val="00A52972"/>
    <w:rsid w:val="00A53D08"/>
    <w:rsid w:val="00A54A02"/>
    <w:rsid w:val="00A612B9"/>
    <w:rsid w:val="00A70161"/>
    <w:rsid w:val="00A7071C"/>
    <w:rsid w:val="00A71320"/>
    <w:rsid w:val="00A74C1E"/>
    <w:rsid w:val="00A75355"/>
    <w:rsid w:val="00A76455"/>
    <w:rsid w:val="00A80038"/>
    <w:rsid w:val="00A81617"/>
    <w:rsid w:val="00A83BD8"/>
    <w:rsid w:val="00A84C5D"/>
    <w:rsid w:val="00A87377"/>
    <w:rsid w:val="00A875AD"/>
    <w:rsid w:val="00A87B11"/>
    <w:rsid w:val="00A92215"/>
    <w:rsid w:val="00A926BB"/>
    <w:rsid w:val="00A92F4F"/>
    <w:rsid w:val="00A9423B"/>
    <w:rsid w:val="00A95EB4"/>
    <w:rsid w:val="00A95EE7"/>
    <w:rsid w:val="00A969C8"/>
    <w:rsid w:val="00A97C46"/>
    <w:rsid w:val="00AA07AA"/>
    <w:rsid w:val="00AA0BD5"/>
    <w:rsid w:val="00AA0FE7"/>
    <w:rsid w:val="00AA10C4"/>
    <w:rsid w:val="00AA2170"/>
    <w:rsid w:val="00AA2E93"/>
    <w:rsid w:val="00AA3B2B"/>
    <w:rsid w:val="00AA6853"/>
    <w:rsid w:val="00AB40F4"/>
    <w:rsid w:val="00AB79E9"/>
    <w:rsid w:val="00AC0323"/>
    <w:rsid w:val="00AC0556"/>
    <w:rsid w:val="00AC2489"/>
    <w:rsid w:val="00AC59C7"/>
    <w:rsid w:val="00AC7D40"/>
    <w:rsid w:val="00AC7DF1"/>
    <w:rsid w:val="00AD10CD"/>
    <w:rsid w:val="00AD1E5E"/>
    <w:rsid w:val="00AD1FFA"/>
    <w:rsid w:val="00AD5C5B"/>
    <w:rsid w:val="00AD5E0F"/>
    <w:rsid w:val="00AE0E6A"/>
    <w:rsid w:val="00AE20EC"/>
    <w:rsid w:val="00AE2F2B"/>
    <w:rsid w:val="00AF0D38"/>
    <w:rsid w:val="00AF6081"/>
    <w:rsid w:val="00AF7C2E"/>
    <w:rsid w:val="00B0128B"/>
    <w:rsid w:val="00B019D8"/>
    <w:rsid w:val="00B04742"/>
    <w:rsid w:val="00B04791"/>
    <w:rsid w:val="00B0595C"/>
    <w:rsid w:val="00B111D2"/>
    <w:rsid w:val="00B13B8C"/>
    <w:rsid w:val="00B17280"/>
    <w:rsid w:val="00B22217"/>
    <w:rsid w:val="00B24A7D"/>
    <w:rsid w:val="00B24ADE"/>
    <w:rsid w:val="00B30DF7"/>
    <w:rsid w:val="00B33874"/>
    <w:rsid w:val="00B35AD8"/>
    <w:rsid w:val="00B37A94"/>
    <w:rsid w:val="00B4119E"/>
    <w:rsid w:val="00B4266C"/>
    <w:rsid w:val="00B42B11"/>
    <w:rsid w:val="00B42DEB"/>
    <w:rsid w:val="00B456C5"/>
    <w:rsid w:val="00B476C6"/>
    <w:rsid w:val="00B5553A"/>
    <w:rsid w:val="00B55905"/>
    <w:rsid w:val="00B60D2C"/>
    <w:rsid w:val="00B62E0B"/>
    <w:rsid w:val="00B638E3"/>
    <w:rsid w:val="00B64237"/>
    <w:rsid w:val="00B64EB3"/>
    <w:rsid w:val="00B70723"/>
    <w:rsid w:val="00B70A6E"/>
    <w:rsid w:val="00B722BE"/>
    <w:rsid w:val="00B73CAF"/>
    <w:rsid w:val="00B76288"/>
    <w:rsid w:val="00B76A56"/>
    <w:rsid w:val="00B822A4"/>
    <w:rsid w:val="00B834D9"/>
    <w:rsid w:val="00B92227"/>
    <w:rsid w:val="00B922D9"/>
    <w:rsid w:val="00B923A1"/>
    <w:rsid w:val="00B93C73"/>
    <w:rsid w:val="00B9501B"/>
    <w:rsid w:val="00BA00A7"/>
    <w:rsid w:val="00BA1588"/>
    <w:rsid w:val="00BA25D2"/>
    <w:rsid w:val="00BA3CEA"/>
    <w:rsid w:val="00BA4A4A"/>
    <w:rsid w:val="00BA517E"/>
    <w:rsid w:val="00BB0DAE"/>
    <w:rsid w:val="00BB11D0"/>
    <w:rsid w:val="00BB3538"/>
    <w:rsid w:val="00BB3D50"/>
    <w:rsid w:val="00BB3EB9"/>
    <w:rsid w:val="00BB53BF"/>
    <w:rsid w:val="00BB638D"/>
    <w:rsid w:val="00BC097A"/>
    <w:rsid w:val="00BC0BF9"/>
    <w:rsid w:val="00BC58E7"/>
    <w:rsid w:val="00BC5A89"/>
    <w:rsid w:val="00BC6E33"/>
    <w:rsid w:val="00BC74D2"/>
    <w:rsid w:val="00BD377E"/>
    <w:rsid w:val="00BD4501"/>
    <w:rsid w:val="00BD6D01"/>
    <w:rsid w:val="00BD7519"/>
    <w:rsid w:val="00BE0C6C"/>
    <w:rsid w:val="00BE24CA"/>
    <w:rsid w:val="00BE41F3"/>
    <w:rsid w:val="00BE70E0"/>
    <w:rsid w:val="00BE72E9"/>
    <w:rsid w:val="00BF0A63"/>
    <w:rsid w:val="00BF1ADB"/>
    <w:rsid w:val="00BF1CBD"/>
    <w:rsid w:val="00BF45A6"/>
    <w:rsid w:val="00BF769C"/>
    <w:rsid w:val="00C00632"/>
    <w:rsid w:val="00C0216C"/>
    <w:rsid w:val="00C0273A"/>
    <w:rsid w:val="00C02A21"/>
    <w:rsid w:val="00C056F9"/>
    <w:rsid w:val="00C12EA5"/>
    <w:rsid w:val="00C14FE1"/>
    <w:rsid w:val="00C173AE"/>
    <w:rsid w:val="00C17CC7"/>
    <w:rsid w:val="00C216CC"/>
    <w:rsid w:val="00C22A72"/>
    <w:rsid w:val="00C27D8A"/>
    <w:rsid w:val="00C3098E"/>
    <w:rsid w:val="00C33836"/>
    <w:rsid w:val="00C36A61"/>
    <w:rsid w:val="00C439DF"/>
    <w:rsid w:val="00C444F6"/>
    <w:rsid w:val="00C523C2"/>
    <w:rsid w:val="00C541B7"/>
    <w:rsid w:val="00C54FA5"/>
    <w:rsid w:val="00C6035E"/>
    <w:rsid w:val="00C60D2A"/>
    <w:rsid w:val="00C610FA"/>
    <w:rsid w:val="00C61A0E"/>
    <w:rsid w:val="00C6211F"/>
    <w:rsid w:val="00C63EB0"/>
    <w:rsid w:val="00C6597F"/>
    <w:rsid w:val="00C712DE"/>
    <w:rsid w:val="00C71903"/>
    <w:rsid w:val="00C71957"/>
    <w:rsid w:val="00C74300"/>
    <w:rsid w:val="00C76F99"/>
    <w:rsid w:val="00C77AAE"/>
    <w:rsid w:val="00C8100E"/>
    <w:rsid w:val="00C82A4B"/>
    <w:rsid w:val="00C833BF"/>
    <w:rsid w:val="00C84F04"/>
    <w:rsid w:val="00C90F78"/>
    <w:rsid w:val="00C939E3"/>
    <w:rsid w:val="00C9420E"/>
    <w:rsid w:val="00C95AF8"/>
    <w:rsid w:val="00C95E6C"/>
    <w:rsid w:val="00C96A10"/>
    <w:rsid w:val="00C97A4C"/>
    <w:rsid w:val="00CA0CA6"/>
    <w:rsid w:val="00CA1023"/>
    <w:rsid w:val="00CA15B8"/>
    <w:rsid w:val="00CA21CD"/>
    <w:rsid w:val="00CA249A"/>
    <w:rsid w:val="00CA27E2"/>
    <w:rsid w:val="00CA44B2"/>
    <w:rsid w:val="00CA4591"/>
    <w:rsid w:val="00CA4DAF"/>
    <w:rsid w:val="00CA6B3F"/>
    <w:rsid w:val="00CA7BBC"/>
    <w:rsid w:val="00CB14AB"/>
    <w:rsid w:val="00CB39D4"/>
    <w:rsid w:val="00CC0184"/>
    <w:rsid w:val="00CC1E44"/>
    <w:rsid w:val="00CC2044"/>
    <w:rsid w:val="00CC436F"/>
    <w:rsid w:val="00CC4566"/>
    <w:rsid w:val="00CC4DAF"/>
    <w:rsid w:val="00CD131E"/>
    <w:rsid w:val="00CD158A"/>
    <w:rsid w:val="00CD1FF1"/>
    <w:rsid w:val="00CD26C6"/>
    <w:rsid w:val="00CE2735"/>
    <w:rsid w:val="00CE4423"/>
    <w:rsid w:val="00CE5CCD"/>
    <w:rsid w:val="00CF0C8C"/>
    <w:rsid w:val="00CF3D5D"/>
    <w:rsid w:val="00CF470F"/>
    <w:rsid w:val="00CF52A7"/>
    <w:rsid w:val="00CF573F"/>
    <w:rsid w:val="00D00B68"/>
    <w:rsid w:val="00D012BF"/>
    <w:rsid w:val="00D030D9"/>
    <w:rsid w:val="00D103CE"/>
    <w:rsid w:val="00D10EDE"/>
    <w:rsid w:val="00D17A86"/>
    <w:rsid w:val="00D20266"/>
    <w:rsid w:val="00D213E0"/>
    <w:rsid w:val="00D2347D"/>
    <w:rsid w:val="00D26227"/>
    <w:rsid w:val="00D275A4"/>
    <w:rsid w:val="00D33147"/>
    <w:rsid w:val="00D33822"/>
    <w:rsid w:val="00D33E3D"/>
    <w:rsid w:val="00D36680"/>
    <w:rsid w:val="00D45AC2"/>
    <w:rsid w:val="00D46AA1"/>
    <w:rsid w:val="00D51EEE"/>
    <w:rsid w:val="00D52833"/>
    <w:rsid w:val="00D53787"/>
    <w:rsid w:val="00D538AB"/>
    <w:rsid w:val="00D5413E"/>
    <w:rsid w:val="00D56373"/>
    <w:rsid w:val="00D56952"/>
    <w:rsid w:val="00D57AD2"/>
    <w:rsid w:val="00D57BB5"/>
    <w:rsid w:val="00D60C34"/>
    <w:rsid w:val="00D64483"/>
    <w:rsid w:val="00D665E8"/>
    <w:rsid w:val="00D71ABD"/>
    <w:rsid w:val="00D72FCA"/>
    <w:rsid w:val="00D74E8D"/>
    <w:rsid w:val="00D75DD5"/>
    <w:rsid w:val="00D763EE"/>
    <w:rsid w:val="00D768DB"/>
    <w:rsid w:val="00D808C9"/>
    <w:rsid w:val="00D80A7D"/>
    <w:rsid w:val="00D81349"/>
    <w:rsid w:val="00D815BC"/>
    <w:rsid w:val="00D827C5"/>
    <w:rsid w:val="00D84FB1"/>
    <w:rsid w:val="00D85444"/>
    <w:rsid w:val="00D87274"/>
    <w:rsid w:val="00D87843"/>
    <w:rsid w:val="00D90BD7"/>
    <w:rsid w:val="00D9317B"/>
    <w:rsid w:val="00D93B85"/>
    <w:rsid w:val="00DA292C"/>
    <w:rsid w:val="00DA3A96"/>
    <w:rsid w:val="00DA521E"/>
    <w:rsid w:val="00DB2AAB"/>
    <w:rsid w:val="00DB4089"/>
    <w:rsid w:val="00DB40B0"/>
    <w:rsid w:val="00DB5EAF"/>
    <w:rsid w:val="00DC0D0C"/>
    <w:rsid w:val="00DC172D"/>
    <w:rsid w:val="00DC50B7"/>
    <w:rsid w:val="00DC5650"/>
    <w:rsid w:val="00DC6FD1"/>
    <w:rsid w:val="00DD59CB"/>
    <w:rsid w:val="00DE1A7A"/>
    <w:rsid w:val="00DE1B21"/>
    <w:rsid w:val="00DE3C0A"/>
    <w:rsid w:val="00DE4122"/>
    <w:rsid w:val="00DE6AB6"/>
    <w:rsid w:val="00DF005F"/>
    <w:rsid w:val="00DF38E6"/>
    <w:rsid w:val="00DF530B"/>
    <w:rsid w:val="00DF6C66"/>
    <w:rsid w:val="00DF79E4"/>
    <w:rsid w:val="00E003D4"/>
    <w:rsid w:val="00E00FEA"/>
    <w:rsid w:val="00E02B16"/>
    <w:rsid w:val="00E03E49"/>
    <w:rsid w:val="00E0620C"/>
    <w:rsid w:val="00E06E73"/>
    <w:rsid w:val="00E07062"/>
    <w:rsid w:val="00E10C59"/>
    <w:rsid w:val="00E169F8"/>
    <w:rsid w:val="00E23421"/>
    <w:rsid w:val="00E24187"/>
    <w:rsid w:val="00E24559"/>
    <w:rsid w:val="00E26D19"/>
    <w:rsid w:val="00E26E48"/>
    <w:rsid w:val="00E31735"/>
    <w:rsid w:val="00E319EE"/>
    <w:rsid w:val="00E31FB7"/>
    <w:rsid w:val="00E32B92"/>
    <w:rsid w:val="00E356CB"/>
    <w:rsid w:val="00E372CB"/>
    <w:rsid w:val="00E3756F"/>
    <w:rsid w:val="00E37B73"/>
    <w:rsid w:val="00E40AE5"/>
    <w:rsid w:val="00E40AEB"/>
    <w:rsid w:val="00E40C89"/>
    <w:rsid w:val="00E40E98"/>
    <w:rsid w:val="00E45E44"/>
    <w:rsid w:val="00E55051"/>
    <w:rsid w:val="00E55AF5"/>
    <w:rsid w:val="00E6154F"/>
    <w:rsid w:val="00E62150"/>
    <w:rsid w:val="00E6273C"/>
    <w:rsid w:val="00E63180"/>
    <w:rsid w:val="00E6440A"/>
    <w:rsid w:val="00E6465D"/>
    <w:rsid w:val="00E6792D"/>
    <w:rsid w:val="00E6799F"/>
    <w:rsid w:val="00E702BB"/>
    <w:rsid w:val="00E731C4"/>
    <w:rsid w:val="00E777CA"/>
    <w:rsid w:val="00E80B6C"/>
    <w:rsid w:val="00E80E3F"/>
    <w:rsid w:val="00E81BA8"/>
    <w:rsid w:val="00E82096"/>
    <w:rsid w:val="00E84134"/>
    <w:rsid w:val="00E8715B"/>
    <w:rsid w:val="00E90457"/>
    <w:rsid w:val="00E909ED"/>
    <w:rsid w:val="00E91198"/>
    <w:rsid w:val="00E9199F"/>
    <w:rsid w:val="00E91AAC"/>
    <w:rsid w:val="00E93E65"/>
    <w:rsid w:val="00E95CA9"/>
    <w:rsid w:val="00E968C7"/>
    <w:rsid w:val="00E96B7F"/>
    <w:rsid w:val="00EA0B4C"/>
    <w:rsid w:val="00EA0D4F"/>
    <w:rsid w:val="00EA3C9D"/>
    <w:rsid w:val="00EA3E61"/>
    <w:rsid w:val="00EA5727"/>
    <w:rsid w:val="00EA61A3"/>
    <w:rsid w:val="00EA6C91"/>
    <w:rsid w:val="00EA6F3A"/>
    <w:rsid w:val="00EA7DF9"/>
    <w:rsid w:val="00EB0895"/>
    <w:rsid w:val="00EB2C80"/>
    <w:rsid w:val="00EB34E4"/>
    <w:rsid w:val="00EB39F6"/>
    <w:rsid w:val="00EC0538"/>
    <w:rsid w:val="00EC0867"/>
    <w:rsid w:val="00EC10AB"/>
    <w:rsid w:val="00EC216D"/>
    <w:rsid w:val="00EC259C"/>
    <w:rsid w:val="00EC4B9B"/>
    <w:rsid w:val="00EC6668"/>
    <w:rsid w:val="00EC6774"/>
    <w:rsid w:val="00EC6B16"/>
    <w:rsid w:val="00EC7A0A"/>
    <w:rsid w:val="00ED1E11"/>
    <w:rsid w:val="00ED201D"/>
    <w:rsid w:val="00ED2B36"/>
    <w:rsid w:val="00ED2BE1"/>
    <w:rsid w:val="00ED30B8"/>
    <w:rsid w:val="00ED6A1F"/>
    <w:rsid w:val="00EE1637"/>
    <w:rsid w:val="00EE2331"/>
    <w:rsid w:val="00EE4BD1"/>
    <w:rsid w:val="00EF2B65"/>
    <w:rsid w:val="00EF3C76"/>
    <w:rsid w:val="00EF5443"/>
    <w:rsid w:val="00EF5466"/>
    <w:rsid w:val="00EF57BB"/>
    <w:rsid w:val="00F00EA3"/>
    <w:rsid w:val="00F022BA"/>
    <w:rsid w:val="00F022D6"/>
    <w:rsid w:val="00F05467"/>
    <w:rsid w:val="00F06C58"/>
    <w:rsid w:val="00F06FFD"/>
    <w:rsid w:val="00F072E3"/>
    <w:rsid w:val="00F07773"/>
    <w:rsid w:val="00F102E8"/>
    <w:rsid w:val="00F10404"/>
    <w:rsid w:val="00F11084"/>
    <w:rsid w:val="00F116CA"/>
    <w:rsid w:val="00F1201C"/>
    <w:rsid w:val="00F12052"/>
    <w:rsid w:val="00F12458"/>
    <w:rsid w:val="00F12749"/>
    <w:rsid w:val="00F13E57"/>
    <w:rsid w:val="00F14BB8"/>
    <w:rsid w:val="00F15C6F"/>
    <w:rsid w:val="00F2246E"/>
    <w:rsid w:val="00F35C63"/>
    <w:rsid w:val="00F36671"/>
    <w:rsid w:val="00F36E21"/>
    <w:rsid w:val="00F401DE"/>
    <w:rsid w:val="00F42288"/>
    <w:rsid w:val="00F42669"/>
    <w:rsid w:val="00F4502F"/>
    <w:rsid w:val="00F45401"/>
    <w:rsid w:val="00F46D91"/>
    <w:rsid w:val="00F472C6"/>
    <w:rsid w:val="00F50B07"/>
    <w:rsid w:val="00F51A38"/>
    <w:rsid w:val="00F5241C"/>
    <w:rsid w:val="00F547F4"/>
    <w:rsid w:val="00F564E6"/>
    <w:rsid w:val="00F61318"/>
    <w:rsid w:val="00F6257B"/>
    <w:rsid w:val="00F6395D"/>
    <w:rsid w:val="00F715A6"/>
    <w:rsid w:val="00F742F2"/>
    <w:rsid w:val="00F82191"/>
    <w:rsid w:val="00F86A28"/>
    <w:rsid w:val="00F92053"/>
    <w:rsid w:val="00F92CA0"/>
    <w:rsid w:val="00F941FB"/>
    <w:rsid w:val="00F956DD"/>
    <w:rsid w:val="00FA025B"/>
    <w:rsid w:val="00FA03B0"/>
    <w:rsid w:val="00FA228F"/>
    <w:rsid w:val="00FA28FC"/>
    <w:rsid w:val="00FA2F8B"/>
    <w:rsid w:val="00FA3DA8"/>
    <w:rsid w:val="00FA45A3"/>
    <w:rsid w:val="00FA6F9F"/>
    <w:rsid w:val="00FB09D4"/>
    <w:rsid w:val="00FB0E4B"/>
    <w:rsid w:val="00FB2040"/>
    <w:rsid w:val="00FB26EE"/>
    <w:rsid w:val="00FB3165"/>
    <w:rsid w:val="00FB3D0F"/>
    <w:rsid w:val="00FB642B"/>
    <w:rsid w:val="00FC033D"/>
    <w:rsid w:val="00FC0B27"/>
    <w:rsid w:val="00FC0D9C"/>
    <w:rsid w:val="00FC6013"/>
    <w:rsid w:val="00FD5D57"/>
    <w:rsid w:val="00FD69C0"/>
    <w:rsid w:val="00FD6AF3"/>
    <w:rsid w:val="00FD7365"/>
    <w:rsid w:val="00FE1352"/>
    <w:rsid w:val="00FE1B7C"/>
    <w:rsid w:val="00FE1CD0"/>
    <w:rsid w:val="00FE288E"/>
    <w:rsid w:val="00FE2914"/>
    <w:rsid w:val="00FE33C8"/>
    <w:rsid w:val="00FE45CA"/>
    <w:rsid w:val="00FE534C"/>
    <w:rsid w:val="00FE5B08"/>
    <w:rsid w:val="00FE671F"/>
    <w:rsid w:val="00FF03D2"/>
    <w:rsid w:val="00FF14DF"/>
    <w:rsid w:val="00FF41B6"/>
    <w:rsid w:val="00FF4414"/>
    <w:rsid w:val="00FF46A1"/>
    <w:rsid w:val="00FF5841"/>
    <w:rsid w:val="00FF6BA4"/>
    <w:rsid w:val="00FF7146"/>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EB01"/>
  <w15:docId w15:val="{1B98C450-520E-433A-84B1-C53023D0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32"/>
    <w:pPr>
      <w:spacing w:before="120" w:after="120" w:line="360" w:lineRule="auto"/>
      <w:jc w:val="both"/>
    </w:pPr>
    <w:rPr>
      <w:rFonts w:ascii="Arial" w:hAnsi="Arial" w:cs="Arial"/>
      <w:lang w:val="en-GB" w:eastAsia="en-GB"/>
    </w:rPr>
  </w:style>
  <w:style w:type="paragraph" w:styleId="Heading1">
    <w:name w:val="heading 1"/>
    <w:basedOn w:val="Normal"/>
    <w:next w:val="Normal"/>
    <w:link w:val="Heading1Char"/>
    <w:qFormat/>
    <w:rsid w:val="000D14E2"/>
    <w:pPr>
      <w:keepNext/>
      <w:keepLines/>
      <w:numPr>
        <w:numId w:val="2"/>
      </w:numPr>
      <w:tabs>
        <w:tab w:val="left" w:pos="1701"/>
      </w:tabs>
      <w:spacing w:before="480"/>
      <w:outlineLvl w:val="0"/>
    </w:pPr>
    <w:rPr>
      <w:rFonts w:eastAsia="SimHei" w:cs="Times New Roman"/>
      <w:b/>
      <w:bCs/>
      <w:color w:val="0089AA"/>
      <w:sz w:val="28"/>
      <w:szCs w:val="28"/>
    </w:rPr>
  </w:style>
  <w:style w:type="paragraph" w:styleId="Heading2">
    <w:name w:val="heading 2"/>
    <w:basedOn w:val="Style3"/>
    <w:next w:val="Normal"/>
    <w:qFormat/>
    <w:rsid w:val="00185352"/>
    <w:pPr>
      <w:numPr>
        <w:ilvl w:val="1"/>
        <w:numId w:val="5"/>
      </w:numPr>
      <w:ind w:left="720"/>
    </w:pPr>
    <w:rPr>
      <w:color w:val="0089AA"/>
    </w:rPr>
  </w:style>
  <w:style w:type="paragraph" w:styleId="Heading3">
    <w:name w:val="heading 3"/>
    <w:basedOn w:val="Normal"/>
    <w:next w:val="Normal"/>
    <w:link w:val="Heading3Char"/>
    <w:unhideWhenUsed/>
    <w:qFormat/>
    <w:rsid w:val="00960300"/>
    <w:pPr>
      <w:keepNext/>
      <w:keepLines/>
      <w:spacing w:before="200" w:after="0"/>
      <w:outlineLvl w:val="2"/>
    </w:pPr>
    <w:rPr>
      <w:rFonts w:eastAsia="SimHei" w:cs="Times New Roman"/>
      <w:b/>
      <w:bCs/>
      <w:i/>
      <w:color w:val="00B9E4"/>
      <w:sz w:val="22"/>
    </w:rPr>
  </w:style>
  <w:style w:type="paragraph" w:styleId="Heading4">
    <w:name w:val="heading 4"/>
    <w:basedOn w:val="Normal"/>
    <w:next w:val="Normal"/>
    <w:link w:val="Heading4Char"/>
    <w:unhideWhenUsed/>
    <w:qFormat/>
    <w:rsid w:val="005F416A"/>
    <w:pPr>
      <w:keepNext/>
      <w:keepLines/>
      <w:spacing w:before="200" w:after="0"/>
      <w:outlineLvl w:val="3"/>
    </w:pPr>
    <w:rPr>
      <w:rFonts w:eastAsia="SimHei" w:cs="Times New Roman"/>
      <w:b/>
      <w:bCs/>
      <w:i/>
      <w:iCs/>
      <w:color w:val="00B9E4"/>
    </w:rPr>
  </w:style>
  <w:style w:type="paragraph" w:styleId="Heading6">
    <w:name w:val="heading 6"/>
    <w:basedOn w:val="Normal"/>
    <w:next w:val="Normal"/>
    <w:qFormat/>
    <w:rsid w:val="008E5C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uiPriority w:val="99"/>
    <w:rsid w:val="00AD1E5E"/>
    <w:rPr>
      <w:color w:val="0000FF"/>
      <w:u w:val="single"/>
    </w:rPr>
  </w:style>
  <w:style w:type="paragraph" w:styleId="BodyText2">
    <w:name w:val="Body Text 2"/>
    <w:basedOn w:val="Normal"/>
    <w:rsid w:val="00AD1E5E"/>
    <w:pPr>
      <w:spacing w:after="80"/>
      <w:ind w:right="-27"/>
      <w:jc w:val="center"/>
    </w:pPr>
    <w:rPr>
      <w:b/>
    </w:rPr>
  </w:style>
  <w:style w:type="character" w:styleId="Strong">
    <w:name w:val="Strong"/>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E24CA"/>
    <w:rPr>
      <w:sz w:val="16"/>
      <w:szCs w:val="16"/>
    </w:rPr>
  </w:style>
  <w:style w:type="paragraph" w:styleId="CommentText">
    <w:name w:val="annotation text"/>
    <w:basedOn w:val="Normal"/>
    <w:link w:val="CommentTextChar"/>
    <w:semiHidden/>
    <w:rsid w:val="00BE24CA"/>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tabs>
        <w:tab w:val="num" w:pos="360"/>
      </w:tabs>
      <w:ind w:left="360" w:hanging="360"/>
    </w:pPr>
    <w:rPr>
      <w:szCs w:val="20"/>
    </w:rPr>
  </w:style>
  <w:style w:type="numbering" w:customStyle="1" w:styleId="StyleBulletedBlue">
    <w:name w:val="Style Bulleted Blue"/>
    <w:basedOn w:val="NoList"/>
    <w:rsid w:val="00A412D4"/>
    <w:pPr>
      <w:numPr>
        <w:numId w:val="1"/>
      </w:numPr>
    </w:pPr>
  </w:style>
  <w:style w:type="paragraph" w:styleId="ListParagraph">
    <w:name w:val="List Paragraph"/>
    <w:basedOn w:val="Normal"/>
    <w:uiPriority w:val="34"/>
    <w:qFormat/>
    <w:rsid w:val="00F42669"/>
    <w:pPr>
      <w:spacing w:after="200" w:line="276" w:lineRule="auto"/>
      <w:ind w:left="720"/>
      <w:contextualSpacing/>
      <w:jc w:val="left"/>
    </w:pPr>
    <w:rPr>
      <w:rFonts w:eastAsia="Arial" w:cs="Times New Roman"/>
      <w:sz w:val="22"/>
      <w:szCs w:val="22"/>
      <w:lang w:eastAsia="en-US"/>
    </w:rPr>
  </w:style>
  <w:style w:type="character" w:customStyle="1" w:styleId="Heading1Char">
    <w:name w:val="Heading 1 Char"/>
    <w:link w:val="Heading1"/>
    <w:rsid w:val="000D14E2"/>
    <w:rPr>
      <w:rFonts w:ascii="Arial" w:eastAsia="SimHei" w:hAnsi="Arial"/>
      <w:b/>
      <w:bCs/>
      <w:color w:val="0089AA"/>
      <w:sz w:val="28"/>
      <w:szCs w:val="28"/>
      <w:lang w:val="en-GB" w:eastAsia="en-GB"/>
    </w:rPr>
  </w:style>
  <w:style w:type="paragraph" w:customStyle="1" w:styleId="Style3">
    <w:name w:val="Style3"/>
    <w:basedOn w:val="Normal"/>
    <w:link w:val="Style3Char"/>
    <w:qFormat/>
    <w:rsid w:val="005276B7"/>
    <w:pPr>
      <w:keepNext/>
      <w:outlineLvl w:val="1"/>
    </w:pPr>
    <w:rPr>
      <w:b/>
      <w:color w:val="00B9E4"/>
      <w:sz w:val="22"/>
    </w:rPr>
  </w:style>
  <w:style w:type="character" w:customStyle="1" w:styleId="Style3Char">
    <w:name w:val="Style3 Char"/>
    <w:link w:val="Style3"/>
    <w:rsid w:val="005276B7"/>
    <w:rPr>
      <w:rFonts w:ascii="Arial" w:hAnsi="Arial"/>
      <w:b/>
      <w:color w:val="00B9E4"/>
      <w:sz w:val="22"/>
      <w:lang w:val="en-GB" w:eastAsia="en-GB"/>
    </w:rPr>
  </w:style>
  <w:style w:type="character" w:styleId="PlaceholderText">
    <w:name w:val="Placeholder Text"/>
    <w:uiPriority w:val="99"/>
    <w:semiHidden/>
    <w:rsid w:val="005276B7"/>
    <w:rPr>
      <w:color w:val="808080"/>
    </w:rPr>
  </w:style>
  <w:style w:type="paragraph" w:styleId="FootnoteText">
    <w:name w:val="footnote text"/>
    <w:basedOn w:val="Normal"/>
    <w:link w:val="FootnoteTextChar"/>
    <w:rsid w:val="00955207"/>
    <w:pPr>
      <w:spacing w:line="240" w:lineRule="auto"/>
      <w:jc w:val="left"/>
    </w:pPr>
    <w:rPr>
      <w:rFonts w:ascii="Times New Roman" w:hAnsi="Times New Roman"/>
      <w:lang w:val="de-DE" w:eastAsia="de-DE"/>
    </w:rPr>
  </w:style>
  <w:style w:type="character" w:customStyle="1" w:styleId="FootnoteTextChar">
    <w:name w:val="Footnote Text Char"/>
    <w:link w:val="FootnoteText"/>
    <w:rsid w:val="00955207"/>
    <w:rPr>
      <w:lang w:val="de-DE" w:eastAsia="de-DE"/>
    </w:rPr>
  </w:style>
  <w:style w:type="character" w:styleId="FootnoteReference">
    <w:name w:val="footnote reference"/>
    <w:rsid w:val="00955207"/>
    <w:rPr>
      <w:vertAlign w:val="superscript"/>
    </w:rPr>
  </w:style>
  <w:style w:type="paragraph" w:styleId="NoSpacing">
    <w:name w:val="No Spacing"/>
    <w:uiPriority w:val="1"/>
    <w:qFormat/>
    <w:rsid w:val="00955207"/>
    <w:rPr>
      <w:rFonts w:ascii="Arial" w:eastAsia="SimSun" w:hAnsi="Arial"/>
      <w:sz w:val="22"/>
      <w:szCs w:val="22"/>
      <w:lang w:val="en-GB" w:eastAsia="zh-CN"/>
    </w:rPr>
  </w:style>
  <w:style w:type="character" w:customStyle="1" w:styleId="Heading3Char">
    <w:name w:val="Heading 3 Char"/>
    <w:link w:val="Heading3"/>
    <w:rsid w:val="00960300"/>
    <w:rPr>
      <w:rFonts w:ascii="Arial" w:eastAsia="SimHei" w:hAnsi="Arial" w:cs="Times New Roman"/>
      <w:b/>
      <w:bCs/>
      <w:i/>
      <w:color w:val="00B9E4"/>
      <w:sz w:val="22"/>
      <w:lang w:val="en-GB" w:eastAsia="en-GB"/>
    </w:rPr>
  </w:style>
  <w:style w:type="paragraph" w:styleId="Caption">
    <w:name w:val="caption"/>
    <w:basedOn w:val="Normal"/>
    <w:next w:val="Normal"/>
    <w:unhideWhenUsed/>
    <w:qFormat/>
    <w:rsid w:val="008701FE"/>
    <w:pPr>
      <w:spacing w:after="200" w:line="240" w:lineRule="auto"/>
    </w:pPr>
    <w:rPr>
      <w:b/>
      <w:bCs/>
      <w:color w:val="0089AA"/>
      <w:szCs w:val="18"/>
    </w:rPr>
  </w:style>
  <w:style w:type="paragraph" w:styleId="TOC1">
    <w:name w:val="toc 1"/>
    <w:basedOn w:val="Normal"/>
    <w:next w:val="Normal"/>
    <w:autoRedefine/>
    <w:uiPriority w:val="39"/>
    <w:rsid w:val="00DA521E"/>
    <w:pPr>
      <w:spacing w:before="0" w:after="0" w:line="240" w:lineRule="auto"/>
    </w:pPr>
  </w:style>
  <w:style w:type="paragraph" w:styleId="TOC2">
    <w:name w:val="toc 2"/>
    <w:basedOn w:val="Normal"/>
    <w:next w:val="Normal"/>
    <w:autoRedefine/>
    <w:uiPriority w:val="39"/>
    <w:rsid w:val="00DA521E"/>
    <w:pPr>
      <w:spacing w:before="0" w:after="0" w:line="240" w:lineRule="auto"/>
      <w:ind w:left="198"/>
    </w:pPr>
  </w:style>
  <w:style w:type="paragraph" w:styleId="TOC3">
    <w:name w:val="toc 3"/>
    <w:basedOn w:val="Normal"/>
    <w:next w:val="Normal"/>
    <w:autoRedefine/>
    <w:uiPriority w:val="39"/>
    <w:rsid w:val="00DA521E"/>
    <w:pPr>
      <w:spacing w:before="0" w:after="0" w:line="240" w:lineRule="auto"/>
      <w:ind w:left="403"/>
    </w:pPr>
  </w:style>
  <w:style w:type="character" w:customStyle="1" w:styleId="Heading4Char">
    <w:name w:val="Heading 4 Char"/>
    <w:link w:val="Heading4"/>
    <w:rsid w:val="005F416A"/>
    <w:rPr>
      <w:rFonts w:ascii="Arial" w:eastAsia="SimHei" w:hAnsi="Arial" w:cs="Times New Roman"/>
      <w:b/>
      <w:bCs/>
      <w:i/>
      <w:iCs/>
      <w:color w:val="00B9E4"/>
      <w:lang w:val="en-GB" w:eastAsia="en-GB"/>
    </w:rPr>
  </w:style>
  <w:style w:type="paragraph" w:styleId="TOC4">
    <w:name w:val="toc 4"/>
    <w:basedOn w:val="Normal"/>
    <w:next w:val="Normal"/>
    <w:autoRedefine/>
    <w:uiPriority w:val="39"/>
    <w:rsid w:val="00DA521E"/>
    <w:pPr>
      <w:spacing w:before="0" w:after="0" w:line="240" w:lineRule="auto"/>
      <w:ind w:left="601"/>
    </w:pPr>
  </w:style>
  <w:style w:type="table" w:customStyle="1" w:styleId="SimpleTable">
    <w:name w:val="Simple Table"/>
    <w:basedOn w:val="TableNormal"/>
    <w:uiPriority w:val="99"/>
    <w:rsid w:val="002363D1"/>
    <w:rPr>
      <w:rFonts w:ascii="Arial" w:eastAsia="Arial" w:hAnsi="Arial"/>
      <w:color w:val="80379B"/>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2363D1"/>
    <w:pPr>
      <w:spacing w:after="0" w:line="276" w:lineRule="auto"/>
      <w:jc w:val="left"/>
    </w:pPr>
    <w:rPr>
      <w:rFonts w:eastAsia="Arial"/>
      <w:color w:val="6F6F6F"/>
      <w:spacing w:val="-1"/>
      <w:lang w:eastAsia="ja-JP"/>
    </w:rPr>
  </w:style>
  <w:style w:type="paragraph" w:customStyle="1" w:styleId="guidance">
    <w:name w:val="guidance"/>
    <w:basedOn w:val="table-body"/>
    <w:link w:val="guidanceZchn"/>
    <w:qFormat/>
    <w:rsid w:val="002363D1"/>
    <w:rPr>
      <w:sz w:val="16"/>
      <w:szCs w:val="16"/>
    </w:rPr>
  </w:style>
  <w:style w:type="character" w:customStyle="1" w:styleId="table-bodyZchn">
    <w:name w:val="table-body Zchn"/>
    <w:link w:val="table-body"/>
    <w:rsid w:val="002363D1"/>
    <w:rPr>
      <w:rFonts w:ascii="Arial" w:eastAsia="Arial" w:hAnsi="Arial" w:cs="Arial"/>
      <w:color w:val="6F6F6F"/>
      <w:spacing w:val="-1"/>
      <w:lang w:val="en-GB" w:eastAsia="ja-JP"/>
    </w:rPr>
  </w:style>
  <w:style w:type="character" w:customStyle="1" w:styleId="guidanceZchn">
    <w:name w:val="guidance Zchn"/>
    <w:link w:val="guidance"/>
    <w:rsid w:val="002363D1"/>
    <w:rPr>
      <w:rFonts w:ascii="Arial" w:eastAsia="Arial" w:hAnsi="Arial" w:cs="Arial"/>
      <w:color w:val="6F6F6F"/>
      <w:spacing w:val="-1"/>
      <w:sz w:val="16"/>
      <w:szCs w:val="16"/>
      <w:lang w:val="en-GB" w:eastAsia="ja-JP"/>
    </w:rPr>
  </w:style>
  <w:style w:type="paragraph" w:customStyle="1" w:styleId="Appliesto">
    <w:name w:val="Applies_to"/>
    <w:basedOn w:val="guidance"/>
    <w:link w:val="AppliestoZchn"/>
    <w:qFormat/>
    <w:rsid w:val="002363D1"/>
    <w:pPr>
      <w:spacing w:line="240" w:lineRule="auto"/>
      <w:ind w:left="1105" w:hanging="1105"/>
    </w:pPr>
    <w:rPr>
      <w:lang w:eastAsia="ko-KR"/>
    </w:rPr>
  </w:style>
  <w:style w:type="character" w:customStyle="1" w:styleId="AppliestoZchn">
    <w:name w:val="Applies_to Zchn"/>
    <w:link w:val="Appliesto"/>
    <w:rsid w:val="002363D1"/>
    <w:rPr>
      <w:rFonts w:ascii="Arial" w:eastAsia="Arial" w:hAnsi="Arial" w:cs="Arial"/>
      <w:color w:val="6F6F6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2363D1"/>
    <w:pPr>
      <w:spacing w:before="160" w:after="40" w:line="276" w:lineRule="auto"/>
      <w:ind w:hanging="616"/>
      <w:jc w:val="left"/>
    </w:pPr>
    <w:rPr>
      <w:rFonts w:eastAsia="Arial"/>
      <w:color w:val="00B9E4"/>
      <w:lang w:eastAsia="ko-KR"/>
    </w:rPr>
  </w:style>
  <w:style w:type="paragraph" w:customStyle="1" w:styleId="VBPC">
    <w:name w:val="VBP/C"/>
    <w:basedOn w:val="Normal"/>
    <w:qFormat/>
    <w:rsid w:val="002363D1"/>
    <w:pPr>
      <w:spacing w:after="0" w:line="240" w:lineRule="auto"/>
      <w:jc w:val="center"/>
    </w:pPr>
    <w:rPr>
      <w:rFonts w:eastAsia="Arial"/>
      <w:b/>
      <w:color w:val="6F6F6F"/>
      <w:spacing w:val="-1"/>
      <w:lang w:eastAsia="ja-JP"/>
    </w:rPr>
  </w:style>
  <w:style w:type="character" w:customStyle="1" w:styleId="Layer3-headline-no-table-of-contentZchn">
    <w:name w:val="Layer3-headline-no-table-of-content Zchn"/>
    <w:link w:val="Layer3-headline-no-table-of-content"/>
    <w:rsid w:val="002363D1"/>
    <w:rPr>
      <w:rFonts w:ascii="Arial" w:eastAsia="Arial" w:hAnsi="Arial" w:cs="Arial"/>
      <w:color w:val="00B9E4"/>
      <w:lang w:val="en-GB" w:eastAsia="ko-KR"/>
    </w:rPr>
  </w:style>
  <w:style w:type="paragraph" w:styleId="Revision">
    <w:name w:val="Revision"/>
    <w:hidden/>
    <w:uiPriority w:val="99"/>
    <w:semiHidden/>
    <w:rsid w:val="00012006"/>
    <w:rPr>
      <w:rFonts w:ascii="Arial" w:hAnsi="Arial" w:cs="Arial"/>
      <w:lang w:val="en-GB" w:eastAsia="en-GB"/>
    </w:rPr>
  </w:style>
  <w:style w:type="character" w:styleId="FollowedHyperlink">
    <w:name w:val="FollowedHyperlink"/>
    <w:rsid w:val="00813B0D"/>
    <w:rPr>
      <w:color w:val="FECB00"/>
      <w:u w:val="single"/>
    </w:rPr>
  </w:style>
  <w:style w:type="table" w:styleId="MediumShading2-Accent2">
    <w:name w:val="Medium Shading 2 Accent 2"/>
    <w:basedOn w:val="TableNormal"/>
    <w:uiPriority w:val="64"/>
    <w:rsid w:val="008701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ED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ED600"/>
      </w:tcPr>
    </w:tblStylePr>
    <w:tblStylePr w:type="lastCol">
      <w:rPr>
        <w:b/>
        <w:bCs/>
        <w:color w:val="FFFFFF"/>
      </w:rPr>
      <w:tblPr/>
      <w:tcPr>
        <w:tcBorders>
          <w:left w:val="nil"/>
          <w:right w:val="nil"/>
          <w:insideH w:val="nil"/>
          <w:insideV w:val="nil"/>
        </w:tcBorders>
        <w:shd w:val="clear" w:color="auto" w:fill="BED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A4A4A"/>
    <w:tblPr>
      <w:tblStyleRowBandSize w:val="1"/>
      <w:tblStyleColBandSize w:val="1"/>
      <w:tblBorders>
        <w:top w:val="single" w:sz="8" w:space="0" w:color="F043B8"/>
        <w:left w:val="single" w:sz="8" w:space="0" w:color="F043B8"/>
        <w:bottom w:val="single" w:sz="8" w:space="0" w:color="F043B8"/>
        <w:right w:val="single" w:sz="8" w:space="0" w:color="F043B8"/>
        <w:insideH w:val="single" w:sz="8" w:space="0" w:color="F043B8"/>
      </w:tblBorders>
    </w:tblPr>
    <w:tblStylePr w:type="firstRow">
      <w:pPr>
        <w:spacing w:before="0" w:after="0" w:line="240" w:lineRule="auto"/>
      </w:pPr>
      <w:rPr>
        <w:b/>
        <w:bCs/>
        <w:color w:val="FFFFFF"/>
      </w:rPr>
      <w:tblPr/>
      <w:tcPr>
        <w:tcBorders>
          <w:top w:val="single" w:sz="8" w:space="0" w:color="F043B8"/>
          <w:left w:val="single" w:sz="8" w:space="0" w:color="F043B8"/>
          <w:bottom w:val="single" w:sz="8" w:space="0" w:color="F043B8"/>
          <w:right w:val="single" w:sz="8" w:space="0" w:color="F043B8"/>
          <w:insideH w:val="nil"/>
          <w:insideV w:val="nil"/>
        </w:tcBorders>
        <w:shd w:val="clear" w:color="auto" w:fill="E0119D"/>
      </w:tcPr>
    </w:tblStylePr>
    <w:tblStylePr w:type="lastRow">
      <w:pPr>
        <w:spacing w:before="0" w:after="0" w:line="240" w:lineRule="auto"/>
      </w:pPr>
      <w:rPr>
        <w:b/>
        <w:bCs/>
      </w:rPr>
      <w:tblPr/>
      <w:tcPr>
        <w:tcBorders>
          <w:top w:val="double" w:sz="6" w:space="0" w:color="F043B8"/>
          <w:left w:val="single" w:sz="8" w:space="0" w:color="F043B8"/>
          <w:bottom w:val="single" w:sz="8" w:space="0" w:color="F043B8"/>
          <w:right w:val="single" w:sz="8" w:space="0" w:color="F043B8"/>
          <w:insideH w:val="nil"/>
          <w:insideV w:val="nil"/>
        </w:tcBorders>
      </w:tcPr>
    </w:tblStylePr>
    <w:tblStylePr w:type="firstCol">
      <w:rPr>
        <w:b/>
        <w:bCs/>
      </w:rPr>
    </w:tblStylePr>
    <w:tblStylePr w:type="lastCol">
      <w:rPr>
        <w:b/>
        <w:bCs/>
      </w:rPr>
    </w:tblStylePr>
    <w:tblStylePr w:type="band1Vert">
      <w:tblPr/>
      <w:tcPr>
        <w:shd w:val="clear" w:color="auto" w:fill="FAC1E7"/>
      </w:tcPr>
    </w:tblStylePr>
    <w:tblStylePr w:type="band1Horz">
      <w:tblPr/>
      <w:tcPr>
        <w:tcBorders>
          <w:insideH w:val="nil"/>
          <w:insideV w:val="nil"/>
        </w:tcBorders>
        <w:shd w:val="clear" w:color="auto" w:fill="FAC1E7"/>
      </w:tcPr>
    </w:tblStylePr>
    <w:tblStylePr w:type="band2Horz">
      <w:tblPr/>
      <w:tcPr>
        <w:tcBorders>
          <w:insideH w:val="nil"/>
          <w:insideV w:val="nil"/>
        </w:tcBorders>
      </w:tcPr>
    </w:tblStylePr>
  </w:style>
  <w:style w:type="table" w:styleId="LightList-Accent1">
    <w:name w:val="Light List Accent 1"/>
    <w:basedOn w:val="TableNormal"/>
    <w:uiPriority w:val="61"/>
    <w:rsid w:val="00BA4A4A"/>
    <w:tblPr>
      <w:tblStyleRowBandSize w:val="1"/>
      <w:tblStyleColBandSize w:val="1"/>
      <w:tblBorders>
        <w:top w:val="single" w:sz="8" w:space="0" w:color="00B9E4"/>
        <w:left w:val="single" w:sz="8" w:space="0" w:color="00B9E4"/>
        <w:bottom w:val="single" w:sz="8" w:space="0" w:color="00B9E4"/>
        <w:right w:val="single" w:sz="8" w:space="0" w:color="00B9E4"/>
      </w:tblBorders>
    </w:tblPr>
    <w:tblStylePr w:type="firstRow">
      <w:pPr>
        <w:spacing w:before="0" w:after="0" w:line="240" w:lineRule="auto"/>
      </w:pPr>
      <w:rPr>
        <w:b/>
        <w:bCs/>
        <w:color w:val="FFFFFF"/>
      </w:rPr>
      <w:tblPr/>
      <w:tcPr>
        <w:shd w:val="clear" w:color="auto" w:fill="00B9E4"/>
      </w:tcPr>
    </w:tblStylePr>
    <w:tblStylePr w:type="lastRow">
      <w:pPr>
        <w:spacing w:before="0" w:after="0" w:line="240" w:lineRule="auto"/>
      </w:pPr>
      <w:rPr>
        <w:b/>
        <w:bCs/>
      </w:rPr>
      <w:tblPr/>
      <w:tcPr>
        <w:tcBorders>
          <w:top w:val="double" w:sz="6" w:space="0" w:color="00B9E4"/>
          <w:left w:val="single" w:sz="8" w:space="0" w:color="00B9E4"/>
          <w:bottom w:val="single" w:sz="8" w:space="0" w:color="00B9E4"/>
          <w:right w:val="single" w:sz="8" w:space="0" w:color="00B9E4"/>
        </w:tcBorders>
      </w:tcPr>
    </w:tblStylePr>
    <w:tblStylePr w:type="firstCol">
      <w:rPr>
        <w:b/>
        <w:bCs/>
      </w:rPr>
    </w:tblStylePr>
    <w:tblStylePr w:type="lastCol">
      <w:rPr>
        <w:b/>
        <w:bCs/>
      </w:rPr>
    </w:tblStylePr>
    <w:tblStylePr w:type="band1Vert">
      <w:tblPr/>
      <w:tcPr>
        <w:tcBorders>
          <w:top w:val="single" w:sz="8" w:space="0" w:color="00B9E4"/>
          <w:left w:val="single" w:sz="8" w:space="0" w:color="00B9E4"/>
          <w:bottom w:val="single" w:sz="8" w:space="0" w:color="00B9E4"/>
          <w:right w:val="single" w:sz="8" w:space="0" w:color="00B9E4"/>
        </w:tcBorders>
      </w:tcPr>
    </w:tblStylePr>
    <w:tblStylePr w:type="band1Horz">
      <w:tblPr/>
      <w:tcPr>
        <w:tcBorders>
          <w:top w:val="single" w:sz="8" w:space="0" w:color="00B9E4"/>
          <w:left w:val="single" w:sz="8" w:space="0" w:color="00B9E4"/>
          <w:bottom w:val="single" w:sz="8" w:space="0" w:color="00B9E4"/>
          <w:right w:val="single" w:sz="8" w:space="0" w:color="00B9E4"/>
        </w:tcBorders>
      </w:tcPr>
    </w:tblStylePr>
  </w:style>
  <w:style w:type="character" w:customStyle="1" w:styleId="dflfde">
    <w:name w:val="dflfde"/>
    <w:basedOn w:val="DefaultParagraphFont"/>
    <w:rsid w:val="001E2427"/>
  </w:style>
  <w:style w:type="paragraph" w:styleId="PlainText">
    <w:name w:val="Plain Text"/>
    <w:basedOn w:val="Normal"/>
    <w:link w:val="PlainTextChar"/>
    <w:uiPriority w:val="99"/>
    <w:unhideWhenUsed/>
    <w:rsid w:val="003868DC"/>
    <w:pPr>
      <w:spacing w:before="0" w:after="0" w:line="240" w:lineRule="auto"/>
      <w:jc w:val="left"/>
    </w:pPr>
    <w:rPr>
      <w:rFonts w:ascii="Calibri" w:eastAsia="Arial" w:hAnsi="Calibri" w:cs="Times New Roman"/>
      <w:sz w:val="22"/>
      <w:szCs w:val="22"/>
      <w:lang w:eastAsia="en-US"/>
    </w:rPr>
  </w:style>
  <w:style w:type="character" w:customStyle="1" w:styleId="PlainTextChar">
    <w:name w:val="Plain Text Char"/>
    <w:link w:val="PlainText"/>
    <w:uiPriority w:val="99"/>
    <w:rsid w:val="003868DC"/>
    <w:rPr>
      <w:rFonts w:ascii="Calibri" w:eastAsia="Arial" w:hAnsi="Calibri"/>
      <w:sz w:val="22"/>
      <w:szCs w:val="22"/>
      <w:lang w:val="en-GB"/>
    </w:rPr>
  </w:style>
  <w:style w:type="character" w:customStyle="1" w:styleId="FooterChar">
    <w:name w:val="Footer Char"/>
    <w:link w:val="Footer"/>
    <w:uiPriority w:val="99"/>
    <w:rsid w:val="005E21FE"/>
    <w:rPr>
      <w:rFonts w:ascii="Arial" w:hAnsi="Arial" w:cs="Arial"/>
      <w:lang w:val="en-GB" w:eastAsia="en-GB"/>
    </w:rPr>
  </w:style>
  <w:style w:type="character" w:customStyle="1" w:styleId="CommentTextChar">
    <w:name w:val="Comment Text Char"/>
    <w:link w:val="CommentText"/>
    <w:semiHidden/>
    <w:rsid w:val="00526710"/>
    <w:rPr>
      <w:rFonts w:ascii="Arial" w:hAnsi="Arial" w:cs="Arial"/>
      <w:lang w:val="en-GB" w:eastAsia="en-GB"/>
    </w:rPr>
  </w:style>
  <w:style w:type="character" w:customStyle="1" w:styleId="UnresolvedMention">
    <w:name w:val="Unresolved Mention"/>
    <w:uiPriority w:val="99"/>
    <w:semiHidden/>
    <w:unhideWhenUsed/>
    <w:rsid w:val="00502024"/>
    <w:rPr>
      <w:color w:val="605E5C"/>
      <w:shd w:val="clear" w:color="auto" w:fill="E1DFDD"/>
    </w:rPr>
  </w:style>
  <w:style w:type="character" w:customStyle="1" w:styleId="e24kjd">
    <w:name w:val="e24kjd"/>
    <w:basedOn w:val="DefaultParagraphFont"/>
    <w:rsid w:val="00545D54"/>
  </w:style>
  <w:style w:type="table" w:styleId="GridTable4-Accent2">
    <w:name w:val="Grid Table 4 Accent 2"/>
    <w:basedOn w:val="TableNormal"/>
    <w:uiPriority w:val="49"/>
    <w:rsid w:val="00A07FC5"/>
    <w:tblPr>
      <w:tblStyleRowBandSize w:val="1"/>
      <w:tblStyleColBandSize w:val="1"/>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Pr>
    <w:tblStylePr w:type="firstRow">
      <w:rPr>
        <w:b/>
        <w:bCs/>
        <w:color w:val="FFFFFF"/>
      </w:rPr>
      <w:tblPr/>
      <w:tcPr>
        <w:tcBorders>
          <w:top w:val="single" w:sz="4" w:space="0" w:color="BED600"/>
          <w:left w:val="single" w:sz="4" w:space="0" w:color="BED600"/>
          <w:bottom w:val="single" w:sz="4" w:space="0" w:color="BED600"/>
          <w:right w:val="single" w:sz="4" w:space="0" w:color="BED600"/>
          <w:insideH w:val="nil"/>
          <w:insideV w:val="nil"/>
        </w:tcBorders>
        <w:shd w:val="clear" w:color="auto" w:fill="BED600"/>
      </w:tcPr>
    </w:tblStylePr>
    <w:tblStylePr w:type="lastRow">
      <w:rPr>
        <w:b/>
        <w:bCs/>
      </w:rPr>
      <w:tblPr/>
      <w:tcPr>
        <w:tcBorders>
          <w:top w:val="double" w:sz="4" w:space="0" w:color="BED600"/>
        </w:tcBorders>
      </w:tcPr>
    </w:tblStylePr>
    <w:tblStylePr w:type="firstCol">
      <w:rPr>
        <w:b/>
        <w:bCs/>
      </w:rPr>
    </w:tblStylePr>
    <w:tblStylePr w:type="lastCol">
      <w:rPr>
        <w:b/>
        <w:bCs/>
      </w:rPr>
    </w:tblStylePr>
    <w:tblStylePr w:type="band1Vert">
      <w:tblPr/>
      <w:tcPr>
        <w:shd w:val="clear" w:color="auto" w:fill="F8FFC3"/>
      </w:tcPr>
    </w:tblStylePr>
    <w:tblStylePr w:type="band1Horz">
      <w:tblPr/>
      <w:tcPr>
        <w:shd w:val="clear" w:color="auto" w:fill="F8FFC3"/>
      </w:tcPr>
    </w:tblStylePr>
  </w:style>
  <w:style w:type="table" w:styleId="GridTable3-Accent1">
    <w:name w:val="Grid Table 3 Accent 1"/>
    <w:basedOn w:val="TableNormal"/>
    <w:uiPriority w:val="48"/>
    <w:rsid w:val="0013325F"/>
    <w:tblPr>
      <w:tblStyleRowBandSize w:val="1"/>
      <w:tblStyleColBandSize w:val="1"/>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4FF"/>
      </w:tcPr>
    </w:tblStylePr>
    <w:tblStylePr w:type="band1Horz">
      <w:tblPr/>
      <w:tcPr>
        <w:shd w:val="clear" w:color="auto" w:fill="C6F4FF"/>
      </w:tcPr>
    </w:tblStylePr>
    <w:tblStylePr w:type="neCell">
      <w:tblPr/>
      <w:tcPr>
        <w:tcBorders>
          <w:bottom w:val="single" w:sz="4" w:space="0" w:color="55DEFF"/>
        </w:tcBorders>
      </w:tcPr>
    </w:tblStylePr>
    <w:tblStylePr w:type="nwCell">
      <w:tblPr/>
      <w:tcPr>
        <w:tcBorders>
          <w:bottom w:val="single" w:sz="4" w:space="0" w:color="55DEFF"/>
        </w:tcBorders>
      </w:tcPr>
    </w:tblStylePr>
    <w:tblStylePr w:type="seCell">
      <w:tblPr/>
      <w:tcPr>
        <w:tcBorders>
          <w:top w:val="single" w:sz="4" w:space="0" w:color="55DEFF"/>
        </w:tcBorders>
      </w:tcPr>
    </w:tblStylePr>
    <w:tblStylePr w:type="swCell">
      <w:tblPr/>
      <w:tcPr>
        <w:tcBorders>
          <w:top w:val="single" w:sz="4" w:space="0" w:color="55DEFF"/>
        </w:tcBorders>
      </w:tcPr>
    </w:tblStylePr>
  </w:style>
  <w:style w:type="character" w:customStyle="1" w:styleId="dtr-data">
    <w:name w:val="dtr-data"/>
    <w:basedOn w:val="DefaultParagraphFont"/>
    <w:rsid w:val="002D345F"/>
  </w:style>
  <w:style w:type="table" w:styleId="GridTable5Dark-Accent6">
    <w:name w:val="Grid Table 5 Dark Accent 6"/>
    <w:basedOn w:val="TableNormal"/>
    <w:uiPriority w:val="50"/>
    <w:rsid w:val="00885F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4">
    <w:name w:val="Grid Table 3 Accent 4"/>
    <w:basedOn w:val="TableNormal"/>
    <w:uiPriority w:val="48"/>
    <w:rsid w:val="00DE3C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5">
    <w:name w:val="Grid Table 1 Light Accent 5"/>
    <w:basedOn w:val="TableNormal"/>
    <w:uiPriority w:val="46"/>
    <w:rsid w:val="00253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271">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09332938">
      <w:bodyDiv w:val="1"/>
      <w:marLeft w:val="0"/>
      <w:marRight w:val="0"/>
      <w:marTop w:val="0"/>
      <w:marBottom w:val="0"/>
      <w:divBdr>
        <w:top w:val="none" w:sz="0" w:space="0" w:color="auto"/>
        <w:left w:val="none" w:sz="0" w:space="0" w:color="auto"/>
        <w:bottom w:val="none" w:sz="0" w:space="0" w:color="auto"/>
        <w:right w:val="none" w:sz="0" w:space="0" w:color="auto"/>
      </w:divBdr>
    </w:div>
    <w:div w:id="312834794">
      <w:bodyDiv w:val="1"/>
      <w:marLeft w:val="0"/>
      <w:marRight w:val="0"/>
      <w:marTop w:val="0"/>
      <w:marBottom w:val="0"/>
      <w:divBdr>
        <w:top w:val="none" w:sz="0" w:space="0" w:color="auto"/>
        <w:left w:val="none" w:sz="0" w:space="0" w:color="auto"/>
        <w:bottom w:val="none" w:sz="0" w:space="0" w:color="auto"/>
        <w:right w:val="none" w:sz="0" w:space="0" w:color="auto"/>
      </w:divBdr>
    </w:div>
    <w:div w:id="364870704">
      <w:bodyDiv w:val="1"/>
      <w:marLeft w:val="0"/>
      <w:marRight w:val="0"/>
      <w:marTop w:val="0"/>
      <w:marBottom w:val="0"/>
      <w:divBdr>
        <w:top w:val="none" w:sz="0" w:space="0" w:color="auto"/>
        <w:left w:val="none" w:sz="0" w:space="0" w:color="auto"/>
        <w:bottom w:val="none" w:sz="0" w:space="0" w:color="auto"/>
        <w:right w:val="none" w:sz="0" w:space="0" w:color="auto"/>
      </w:divBdr>
    </w:div>
    <w:div w:id="467669042">
      <w:bodyDiv w:val="1"/>
      <w:marLeft w:val="0"/>
      <w:marRight w:val="0"/>
      <w:marTop w:val="0"/>
      <w:marBottom w:val="0"/>
      <w:divBdr>
        <w:top w:val="none" w:sz="0" w:space="0" w:color="auto"/>
        <w:left w:val="none" w:sz="0" w:space="0" w:color="auto"/>
        <w:bottom w:val="none" w:sz="0" w:space="0" w:color="auto"/>
        <w:right w:val="none" w:sz="0" w:space="0" w:color="auto"/>
      </w:divBdr>
    </w:div>
    <w:div w:id="515656079">
      <w:bodyDiv w:val="1"/>
      <w:marLeft w:val="0"/>
      <w:marRight w:val="0"/>
      <w:marTop w:val="0"/>
      <w:marBottom w:val="0"/>
      <w:divBdr>
        <w:top w:val="none" w:sz="0" w:space="0" w:color="auto"/>
        <w:left w:val="none" w:sz="0" w:space="0" w:color="auto"/>
        <w:bottom w:val="none" w:sz="0" w:space="0" w:color="auto"/>
        <w:right w:val="none" w:sz="0" w:space="0" w:color="auto"/>
      </w:divBdr>
    </w:div>
    <w:div w:id="576280470">
      <w:bodyDiv w:val="1"/>
      <w:marLeft w:val="0"/>
      <w:marRight w:val="0"/>
      <w:marTop w:val="0"/>
      <w:marBottom w:val="0"/>
      <w:divBdr>
        <w:top w:val="none" w:sz="0" w:space="0" w:color="auto"/>
        <w:left w:val="none" w:sz="0" w:space="0" w:color="auto"/>
        <w:bottom w:val="none" w:sz="0" w:space="0" w:color="auto"/>
        <w:right w:val="none" w:sz="0" w:space="0" w:color="auto"/>
      </w:divBdr>
    </w:div>
    <w:div w:id="721752614">
      <w:bodyDiv w:val="1"/>
      <w:marLeft w:val="0"/>
      <w:marRight w:val="0"/>
      <w:marTop w:val="0"/>
      <w:marBottom w:val="0"/>
      <w:divBdr>
        <w:top w:val="none" w:sz="0" w:space="0" w:color="auto"/>
        <w:left w:val="none" w:sz="0" w:space="0" w:color="auto"/>
        <w:bottom w:val="none" w:sz="0" w:space="0" w:color="auto"/>
        <w:right w:val="none" w:sz="0" w:space="0" w:color="auto"/>
      </w:divBdr>
    </w:div>
    <w:div w:id="789279402">
      <w:bodyDiv w:val="1"/>
      <w:marLeft w:val="0"/>
      <w:marRight w:val="0"/>
      <w:marTop w:val="0"/>
      <w:marBottom w:val="0"/>
      <w:divBdr>
        <w:top w:val="none" w:sz="0" w:space="0" w:color="auto"/>
        <w:left w:val="none" w:sz="0" w:space="0" w:color="auto"/>
        <w:bottom w:val="none" w:sz="0" w:space="0" w:color="auto"/>
        <w:right w:val="none" w:sz="0" w:space="0" w:color="auto"/>
      </w:divBdr>
    </w:div>
    <w:div w:id="791939083">
      <w:bodyDiv w:val="1"/>
      <w:marLeft w:val="0"/>
      <w:marRight w:val="0"/>
      <w:marTop w:val="0"/>
      <w:marBottom w:val="0"/>
      <w:divBdr>
        <w:top w:val="none" w:sz="0" w:space="0" w:color="auto"/>
        <w:left w:val="none" w:sz="0" w:space="0" w:color="auto"/>
        <w:bottom w:val="none" w:sz="0" w:space="0" w:color="auto"/>
        <w:right w:val="none" w:sz="0" w:space="0" w:color="auto"/>
      </w:divBdr>
    </w:div>
    <w:div w:id="868881785">
      <w:bodyDiv w:val="1"/>
      <w:marLeft w:val="0"/>
      <w:marRight w:val="0"/>
      <w:marTop w:val="0"/>
      <w:marBottom w:val="0"/>
      <w:divBdr>
        <w:top w:val="none" w:sz="0" w:space="0" w:color="auto"/>
        <w:left w:val="none" w:sz="0" w:space="0" w:color="auto"/>
        <w:bottom w:val="none" w:sz="0" w:space="0" w:color="auto"/>
        <w:right w:val="none" w:sz="0" w:space="0" w:color="auto"/>
      </w:divBdr>
    </w:div>
    <w:div w:id="875384438">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96492451">
      <w:bodyDiv w:val="1"/>
      <w:marLeft w:val="0"/>
      <w:marRight w:val="0"/>
      <w:marTop w:val="0"/>
      <w:marBottom w:val="0"/>
      <w:divBdr>
        <w:top w:val="none" w:sz="0" w:space="0" w:color="auto"/>
        <w:left w:val="none" w:sz="0" w:space="0" w:color="auto"/>
        <w:bottom w:val="none" w:sz="0" w:space="0" w:color="auto"/>
        <w:right w:val="none" w:sz="0" w:space="0" w:color="auto"/>
      </w:divBdr>
    </w:div>
    <w:div w:id="1113599378">
      <w:bodyDiv w:val="1"/>
      <w:marLeft w:val="0"/>
      <w:marRight w:val="0"/>
      <w:marTop w:val="0"/>
      <w:marBottom w:val="0"/>
      <w:divBdr>
        <w:top w:val="none" w:sz="0" w:space="0" w:color="auto"/>
        <w:left w:val="none" w:sz="0" w:space="0" w:color="auto"/>
        <w:bottom w:val="none" w:sz="0" w:space="0" w:color="auto"/>
        <w:right w:val="none" w:sz="0" w:space="0" w:color="auto"/>
      </w:divBdr>
    </w:div>
    <w:div w:id="1132944688">
      <w:bodyDiv w:val="1"/>
      <w:marLeft w:val="0"/>
      <w:marRight w:val="0"/>
      <w:marTop w:val="0"/>
      <w:marBottom w:val="0"/>
      <w:divBdr>
        <w:top w:val="none" w:sz="0" w:space="0" w:color="auto"/>
        <w:left w:val="none" w:sz="0" w:space="0" w:color="auto"/>
        <w:bottom w:val="none" w:sz="0" w:space="0" w:color="auto"/>
        <w:right w:val="none" w:sz="0" w:space="0" w:color="auto"/>
      </w:divBdr>
    </w:div>
    <w:div w:id="1177885290">
      <w:bodyDiv w:val="1"/>
      <w:marLeft w:val="0"/>
      <w:marRight w:val="0"/>
      <w:marTop w:val="0"/>
      <w:marBottom w:val="0"/>
      <w:divBdr>
        <w:top w:val="none" w:sz="0" w:space="0" w:color="auto"/>
        <w:left w:val="none" w:sz="0" w:space="0" w:color="auto"/>
        <w:bottom w:val="none" w:sz="0" w:space="0" w:color="auto"/>
        <w:right w:val="none" w:sz="0" w:space="0" w:color="auto"/>
      </w:divBdr>
    </w:div>
    <w:div w:id="1203591713">
      <w:bodyDiv w:val="1"/>
      <w:marLeft w:val="0"/>
      <w:marRight w:val="0"/>
      <w:marTop w:val="0"/>
      <w:marBottom w:val="0"/>
      <w:divBdr>
        <w:top w:val="none" w:sz="0" w:space="0" w:color="auto"/>
        <w:left w:val="none" w:sz="0" w:space="0" w:color="auto"/>
        <w:bottom w:val="none" w:sz="0" w:space="0" w:color="auto"/>
        <w:right w:val="none" w:sz="0" w:space="0" w:color="auto"/>
      </w:divBdr>
    </w:div>
    <w:div w:id="1234504269">
      <w:bodyDiv w:val="1"/>
      <w:marLeft w:val="0"/>
      <w:marRight w:val="0"/>
      <w:marTop w:val="0"/>
      <w:marBottom w:val="0"/>
      <w:divBdr>
        <w:top w:val="none" w:sz="0" w:space="0" w:color="auto"/>
        <w:left w:val="none" w:sz="0" w:space="0" w:color="auto"/>
        <w:bottom w:val="none" w:sz="0" w:space="0" w:color="auto"/>
        <w:right w:val="none" w:sz="0" w:space="0" w:color="auto"/>
      </w:divBdr>
    </w:div>
    <w:div w:id="1236282935">
      <w:bodyDiv w:val="1"/>
      <w:marLeft w:val="0"/>
      <w:marRight w:val="0"/>
      <w:marTop w:val="0"/>
      <w:marBottom w:val="0"/>
      <w:divBdr>
        <w:top w:val="none" w:sz="0" w:space="0" w:color="auto"/>
        <w:left w:val="none" w:sz="0" w:space="0" w:color="auto"/>
        <w:bottom w:val="none" w:sz="0" w:space="0" w:color="auto"/>
        <w:right w:val="none" w:sz="0" w:space="0" w:color="auto"/>
      </w:divBdr>
    </w:div>
    <w:div w:id="1250894580">
      <w:bodyDiv w:val="1"/>
      <w:marLeft w:val="0"/>
      <w:marRight w:val="0"/>
      <w:marTop w:val="0"/>
      <w:marBottom w:val="0"/>
      <w:divBdr>
        <w:top w:val="none" w:sz="0" w:space="0" w:color="auto"/>
        <w:left w:val="none" w:sz="0" w:space="0" w:color="auto"/>
        <w:bottom w:val="none" w:sz="0" w:space="0" w:color="auto"/>
        <w:right w:val="none" w:sz="0" w:space="0" w:color="auto"/>
      </w:divBdr>
    </w:div>
    <w:div w:id="1339700047">
      <w:bodyDiv w:val="1"/>
      <w:marLeft w:val="0"/>
      <w:marRight w:val="0"/>
      <w:marTop w:val="0"/>
      <w:marBottom w:val="0"/>
      <w:divBdr>
        <w:top w:val="none" w:sz="0" w:space="0" w:color="auto"/>
        <w:left w:val="none" w:sz="0" w:space="0" w:color="auto"/>
        <w:bottom w:val="none" w:sz="0" w:space="0" w:color="auto"/>
        <w:right w:val="none" w:sz="0" w:space="0" w:color="auto"/>
      </w:divBdr>
    </w:div>
    <w:div w:id="1353148564">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26359009">
      <w:bodyDiv w:val="1"/>
      <w:marLeft w:val="0"/>
      <w:marRight w:val="0"/>
      <w:marTop w:val="0"/>
      <w:marBottom w:val="0"/>
      <w:divBdr>
        <w:top w:val="none" w:sz="0" w:space="0" w:color="auto"/>
        <w:left w:val="none" w:sz="0" w:space="0" w:color="auto"/>
        <w:bottom w:val="none" w:sz="0" w:space="0" w:color="auto"/>
        <w:right w:val="none" w:sz="0" w:space="0" w:color="auto"/>
      </w:divBdr>
    </w:div>
    <w:div w:id="1550919926">
      <w:bodyDiv w:val="1"/>
      <w:marLeft w:val="0"/>
      <w:marRight w:val="0"/>
      <w:marTop w:val="0"/>
      <w:marBottom w:val="0"/>
      <w:divBdr>
        <w:top w:val="none" w:sz="0" w:space="0" w:color="auto"/>
        <w:left w:val="none" w:sz="0" w:space="0" w:color="auto"/>
        <w:bottom w:val="none" w:sz="0" w:space="0" w:color="auto"/>
        <w:right w:val="none" w:sz="0" w:space="0" w:color="auto"/>
      </w:divBdr>
    </w:div>
    <w:div w:id="169399327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923952356">
      <w:bodyDiv w:val="1"/>
      <w:marLeft w:val="0"/>
      <w:marRight w:val="0"/>
      <w:marTop w:val="0"/>
      <w:marBottom w:val="0"/>
      <w:divBdr>
        <w:top w:val="none" w:sz="0" w:space="0" w:color="auto"/>
        <w:left w:val="none" w:sz="0" w:space="0" w:color="auto"/>
        <w:bottom w:val="none" w:sz="0" w:space="0" w:color="auto"/>
        <w:right w:val="none" w:sz="0" w:space="0" w:color="auto"/>
      </w:divBdr>
    </w:div>
    <w:div w:id="1974945898">
      <w:bodyDiv w:val="1"/>
      <w:marLeft w:val="0"/>
      <w:marRight w:val="0"/>
      <w:marTop w:val="0"/>
      <w:marBottom w:val="0"/>
      <w:divBdr>
        <w:top w:val="none" w:sz="0" w:space="0" w:color="auto"/>
        <w:left w:val="none" w:sz="0" w:space="0" w:color="auto"/>
        <w:bottom w:val="none" w:sz="0" w:space="0" w:color="auto"/>
        <w:right w:val="none" w:sz="0" w:space="0" w:color="auto"/>
      </w:divBdr>
    </w:div>
    <w:div w:id="2029017012">
      <w:bodyDiv w:val="1"/>
      <w:marLeft w:val="0"/>
      <w:marRight w:val="0"/>
      <w:marTop w:val="0"/>
      <w:marBottom w:val="0"/>
      <w:divBdr>
        <w:top w:val="none" w:sz="0" w:space="0" w:color="auto"/>
        <w:left w:val="none" w:sz="0" w:space="0" w:color="auto"/>
        <w:bottom w:val="none" w:sz="0" w:space="0" w:color="auto"/>
        <w:right w:val="none" w:sz="0" w:space="0" w:color="auto"/>
      </w:divBdr>
    </w:div>
    <w:div w:id="20366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luhm@fairtrad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luhm@fairtrad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fairtrade.net/standards/2020-07-08_Limes_Consultation_synopsis_SP.pdf" TargetMode="External"/><Relationship Id="rId5" Type="http://schemas.openxmlformats.org/officeDocument/2006/relationships/webSettings" Target="webSettings.xml"/><Relationship Id="rId15" Type="http://schemas.openxmlformats.org/officeDocument/2006/relationships/hyperlink" Target="https://files.fairtrade.net/COSP_EN.xlsx" TargetMode="External"/><Relationship Id="rId10" Type="http://schemas.openxmlformats.org/officeDocument/2006/relationships/hyperlink" Target="https://files.fairtrade.net/standards/2020-07-08_Limes_Consultation_synopsis_EN.pdf" TargetMode="External"/><Relationship Id="rId4" Type="http://schemas.openxmlformats.org/officeDocument/2006/relationships/settings" Target="settings.xml"/><Relationship Id="rId9" Type="http://schemas.openxmlformats.org/officeDocument/2006/relationships/hyperlink" Target="https://files.fairtrade.net/standards/2020-02-10_Lime_Price_Review_PA_E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iles.fairtrade.net/standards/Geographical_Scope_Policy_EN.pdf" TargetMode="External"/><Relationship Id="rId1" Type="http://schemas.openxmlformats.org/officeDocument/2006/relationships/hyperlink" Target="https://images.fairtrade.net/COSP_EN.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4414-F348-4BA7-962F-324DF512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3015</Words>
  <Characters>17187</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20162</CharactersWithSpaces>
  <SharedDoc>false</SharedDoc>
  <HLinks>
    <vt:vector size="192" baseType="variant">
      <vt:variant>
        <vt:i4>2424943</vt:i4>
      </vt:variant>
      <vt:variant>
        <vt:i4>471</vt:i4>
      </vt:variant>
      <vt:variant>
        <vt:i4>0</vt:i4>
      </vt:variant>
      <vt:variant>
        <vt:i4>5</vt:i4>
      </vt:variant>
      <vt:variant>
        <vt:lpwstr>https://www.fairtrade.net/standards/price-and-premium-info.html</vt:lpwstr>
      </vt:variant>
      <vt:variant>
        <vt:lpwstr/>
      </vt:variant>
      <vt:variant>
        <vt:i4>6619263</vt:i4>
      </vt:variant>
      <vt:variant>
        <vt:i4>294</vt:i4>
      </vt:variant>
      <vt:variant>
        <vt:i4>0</vt:i4>
      </vt:variant>
      <vt:variant>
        <vt:i4>5</vt:i4>
      </vt:variant>
      <vt:variant>
        <vt:lpwstr>../AppData/Local/Microsoft/Windows/INetCache/Content.Outlook/RN2IY48K/klink</vt:lpwstr>
      </vt:variant>
      <vt:variant>
        <vt:lpwstr/>
      </vt:variant>
      <vt:variant>
        <vt:i4>4915247</vt:i4>
      </vt:variant>
      <vt:variant>
        <vt:i4>186</vt:i4>
      </vt:variant>
      <vt:variant>
        <vt:i4>0</vt:i4>
      </vt:variant>
      <vt:variant>
        <vt:i4>5</vt:i4>
      </vt:variant>
      <vt:variant>
        <vt:lpwstr>https://en.wikipedia.org/wiki/Australian_lime</vt:lpwstr>
      </vt:variant>
      <vt:variant>
        <vt:lpwstr/>
      </vt:variant>
      <vt:variant>
        <vt:i4>5308465</vt:i4>
      </vt:variant>
      <vt:variant>
        <vt:i4>180</vt:i4>
      </vt:variant>
      <vt:variant>
        <vt:i4>0</vt:i4>
      </vt:variant>
      <vt:variant>
        <vt:i4>5</vt:i4>
      </vt:variant>
      <vt:variant>
        <vt:lpwstr>https://en.wikipedia.org/wiki/Citrus_limetta</vt:lpwstr>
      </vt:variant>
      <vt:variant>
        <vt:lpwstr/>
      </vt:variant>
      <vt:variant>
        <vt:i4>589936</vt:i4>
      </vt:variant>
      <vt:variant>
        <vt:i4>174</vt:i4>
      </vt:variant>
      <vt:variant>
        <vt:i4>0</vt:i4>
      </vt:variant>
      <vt:variant>
        <vt:i4>5</vt:i4>
      </vt:variant>
      <vt:variant>
        <vt:lpwstr>https://en.wikipedia.org/wiki/Persian_lime</vt:lpwstr>
      </vt:variant>
      <vt:variant>
        <vt:lpwstr/>
      </vt:variant>
      <vt:variant>
        <vt:i4>1769575</vt:i4>
      </vt:variant>
      <vt:variant>
        <vt:i4>168</vt:i4>
      </vt:variant>
      <vt:variant>
        <vt:i4>0</vt:i4>
      </vt:variant>
      <vt:variant>
        <vt:i4>5</vt:i4>
      </vt:variant>
      <vt:variant>
        <vt:lpwstr>https://en.wikipedia.org/wiki/Key_lime</vt:lpwstr>
      </vt:variant>
      <vt:variant>
        <vt:lpwstr/>
      </vt:variant>
      <vt:variant>
        <vt:i4>5832742</vt:i4>
      </vt:variant>
      <vt:variant>
        <vt:i4>162</vt:i4>
      </vt:variant>
      <vt:variant>
        <vt:i4>0</vt:i4>
      </vt:variant>
      <vt:variant>
        <vt:i4>5</vt:i4>
      </vt:variant>
      <vt:variant>
        <vt:lpwstr>https://en.wikipedia.org/wiki/Kaffir_lime</vt:lpwstr>
      </vt:variant>
      <vt:variant>
        <vt:lpwstr/>
      </vt:variant>
      <vt:variant>
        <vt:i4>4718703</vt:i4>
      </vt:variant>
      <vt:variant>
        <vt:i4>108</vt:i4>
      </vt:variant>
      <vt:variant>
        <vt:i4>0</vt:i4>
      </vt:variant>
      <vt:variant>
        <vt:i4>5</vt:i4>
      </vt:variant>
      <vt:variant>
        <vt:lpwstr>mailto:e.freixa-serra@fairtrade.net</vt:lpwstr>
      </vt:variant>
      <vt:variant>
        <vt:lpwstr/>
      </vt:variant>
      <vt:variant>
        <vt:i4>1638458</vt:i4>
      </vt:variant>
      <vt:variant>
        <vt:i4>101</vt:i4>
      </vt:variant>
      <vt:variant>
        <vt:i4>0</vt:i4>
      </vt:variant>
      <vt:variant>
        <vt:i4>5</vt:i4>
      </vt:variant>
      <vt:variant>
        <vt:lpwstr/>
      </vt:variant>
      <vt:variant>
        <vt:lpwstr>_Toc32927779</vt:lpwstr>
      </vt:variant>
      <vt:variant>
        <vt:i4>1572922</vt:i4>
      </vt:variant>
      <vt:variant>
        <vt:i4>95</vt:i4>
      </vt:variant>
      <vt:variant>
        <vt:i4>0</vt:i4>
      </vt:variant>
      <vt:variant>
        <vt:i4>5</vt:i4>
      </vt:variant>
      <vt:variant>
        <vt:lpwstr/>
      </vt:variant>
      <vt:variant>
        <vt:lpwstr>_Toc32927778</vt:lpwstr>
      </vt:variant>
      <vt:variant>
        <vt:i4>1507386</vt:i4>
      </vt:variant>
      <vt:variant>
        <vt:i4>89</vt:i4>
      </vt:variant>
      <vt:variant>
        <vt:i4>0</vt:i4>
      </vt:variant>
      <vt:variant>
        <vt:i4>5</vt:i4>
      </vt:variant>
      <vt:variant>
        <vt:lpwstr/>
      </vt:variant>
      <vt:variant>
        <vt:lpwstr>_Toc32927777</vt:lpwstr>
      </vt:variant>
      <vt:variant>
        <vt:i4>1441850</vt:i4>
      </vt:variant>
      <vt:variant>
        <vt:i4>83</vt:i4>
      </vt:variant>
      <vt:variant>
        <vt:i4>0</vt:i4>
      </vt:variant>
      <vt:variant>
        <vt:i4>5</vt:i4>
      </vt:variant>
      <vt:variant>
        <vt:lpwstr/>
      </vt:variant>
      <vt:variant>
        <vt:lpwstr>_Toc32927776</vt:lpwstr>
      </vt:variant>
      <vt:variant>
        <vt:i4>1376314</vt:i4>
      </vt:variant>
      <vt:variant>
        <vt:i4>77</vt:i4>
      </vt:variant>
      <vt:variant>
        <vt:i4>0</vt:i4>
      </vt:variant>
      <vt:variant>
        <vt:i4>5</vt:i4>
      </vt:variant>
      <vt:variant>
        <vt:lpwstr/>
      </vt:variant>
      <vt:variant>
        <vt:lpwstr>_Toc32927775</vt:lpwstr>
      </vt:variant>
      <vt:variant>
        <vt:i4>1310778</vt:i4>
      </vt:variant>
      <vt:variant>
        <vt:i4>71</vt:i4>
      </vt:variant>
      <vt:variant>
        <vt:i4>0</vt:i4>
      </vt:variant>
      <vt:variant>
        <vt:i4>5</vt:i4>
      </vt:variant>
      <vt:variant>
        <vt:lpwstr/>
      </vt:variant>
      <vt:variant>
        <vt:lpwstr>_Toc32927774</vt:lpwstr>
      </vt:variant>
      <vt:variant>
        <vt:i4>1245242</vt:i4>
      </vt:variant>
      <vt:variant>
        <vt:i4>65</vt:i4>
      </vt:variant>
      <vt:variant>
        <vt:i4>0</vt:i4>
      </vt:variant>
      <vt:variant>
        <vt:i4>5</vt:i4>
      </vt:variant>
      <vt:variant>
        <vt:lpwstr/>
      </vt:variant>
      <vt:variant>
        <vt:lpwstr>_Toc32927773</vt:lpwstr>
      </vt:variant>
      <vt:variant>
        <vt:i4>1179706</vt:i4>
      </vt:variant>
      <vt:variant>
        <vt:i4>59</vt:i4>
      </vt:variant>
      <vt:variant>
        <vt:i4>0</vt:i4>
      </vt:variant>
      <vt:variant>
        <vt:i4>5</vt:i4>
      </vt:variant>
      <vt:variant>
        <vt:lpwstr/>
      </vt:variant>
      <vt:variant>
        <vt:lpwstr>_Toc32927772</vt:lpwstr>
      </vt:variant>
      <vt:variant>
        <vt:i4>1114170</vt:i4>
      </vt:variant>
      <vt:variant>
        <vt:i4>53</vt:i4>
      </vt:variant>
      <vt:variant>
        <vt:i4>0</vt:i4>
      </vt:variant>
      <vt:variant>
        <vt:i4>5</vt:i4>
      </vt:variant>
      <vt:variant>
        <vt:lpwstr/>
      </vt:variant>
      <vt:variant>
        <vt:lpwstr>_Toc32927771</vt:lpwstr>
      </vt:variant>
      <vt:variant>
        <vt:i4>1048634</vt:i4>
      </vt:variant>
      <vt:variant>
        <vt:i4>47</vt:i4>
      </vt:variant>
      <vt:variant>
        <vt:i4>0</vt:i4>
      </vt:variant>
      <vt:variant>
        <vt:i4>5</vt:i4>
      </vt:variant>
      <vt:variant>
        <vt:lpwstr/>
      </vt:variant>
      <vt:variant>
        <vt:lpwstr>_Toc32927770</vt:lpwstr>
      </vt:variant>
      <vt:variant>
        <vt:i4>1638459</vt:i4>
      </vt:variant>
      <vt:variant>
        <vt:i4>41</vt:i4>
      </vt:variant>
      <vt:variant>
        <vt:i4>0</vt:i4>
      </vt:variant>
      <vt:variant>
        <vt:i4>5</vt:i4>
      </vt:variant>
      <vt:variant>
        <vt:lpwstr/>
      </vt:variant>
      <vt:variant>
        <vt:lpwstr>_Toc32927769</vt:lpwstr>
      </vt:variant>
      <vt:variant>
        <vt:i4>1572923</vt:i4>
      </vt:variant>
      <vt:variant>
        <vt:i4>35</vt:i4>
      </vt:variant>
      <vt:variant>
        <vt:i4>0</vt:i4>
      </vt:variant>
      <vt:variant>
        <vt:i4>5</vt:i4>
      </vt:variant>
      <vt:variant>
        <vt:lpwstr/>
      </vt:variant>
      <vt:variant>
        <vt:lpwstr>_Toc32927768</vt:lpwstr>
      </vt:variant>
      <vt:variant>
        <vt:i4>1507387</vt:i4>
      </vt:variant>
      <vt:variant>
        <vt:i4>29</vt:i4>
      </vt:variant>
      <vt:variant>
        <vt:i4>0</vt:i4>
      </vt:variant>
      <vt:variant>
        <vt:i4>5</vt:i4>
      </vt:variant>
      <vt:variant>
        <vt:lpwstr/>
      </vt:variant>
      <vt:variant>
        <vt:lpwstr>_Toc32927767</vt:lpwstr>
      </vt:variant>
      <vt:variant>
        <vt:i4>1441851</vt:i4>
      </vt:variant>
      <vt:variant>
        <vt:i4>23</vt:i4>
      </vt:variant>
      <vt:variant>
        <vt:i4>0</vt:i4>
      </vt:variant>
      <vt:variant>
        <vt:i4>5</vt:i4>
      </vt:variant>
      <vt:variant>
        <vt:lpwstr/>
      </vt:variant>
      <vt:variant>
        <vt:lpwstr>_Toc32927766</vt:lpwstr>
      </vt:variant>
      <vt:variant>
        <vt:i4>1376315</vt:i4>
      </vt:variant>
      <vt:variant>
        <vt:i4>17</vt:i4>
      </vt:variant>
      <vt:variant>
        <vt:i4>0</vt:i4>
      </vt:variant>
      <vt:variant>
        <vt:i4>5</vt:i4>
      </vt:variant>
      <vt:variant>
        <vt:lpwstr/>
      </vt:variant>
      <vt:variant>
        <vt:lpwstr>_Toc32927765</vt:lpwstr>
      </vt:variant>
      <vt:variant>
        <vt:i4>1310779</vt:i4>
      </vt:variant>
      <vt:variant>
        <vt:i4>11</vt:i4>
      </vt:variant>
      <vt:variant>
        <vt:i4>0</vt:i4>
      </vt:variant>
      <vt:variant>
        <vt:i4>5</vt:i4>
      </vt:variant>
      <vt:variant>
        <vt:lpwstr/>
      </vt:variant>
      <vt:variant>
        <vt:lpwstr>_Toc32927764</vt:lpwstr>
      </vt:variant>
      <vt:variant>
        <vt:i4>1245243</vt:i4>
      </vt:variant>
      <vt:variant>
        <vt:i4>5</vt:i4>
      </vt:variant>
      <vt:variant>
        <vt:i4>0</vt:i4>
      </vt:variant>
      <vt:variant>
        <vt:i4>5</vt:i4>
      </vt:variant>
      <vt:variant>
        <vt:lpwstr/>
      </vt:variant>
      <vt:variant>
        <vt:lpwstr>_Toc32927763</vt:lpwstr>
      </vt:variant>
      <vt:variant>
        <vt:i4>4718703</vt:i4>
      </vt:variant>
      <vt:variant>
        <vt:i4>0</vt:i4>
      </vt:variant>
      <vt:variant>
        <vt:i4>0</vt:i4>
      </vt:variant>
      <vt:variant>
        <vt:i4>5</vt:i4>
      </vt:variant>
      <vt:variant>
        <vt:lpwstr>mailto:e.freixa-serra@fairtrade.net</vt:lpwstr>
      </vt:variant>
      <vt:variant>
        <vt:lpwstr/>
      </vt:variant>
      <vt:variant>
        <vt:i4>3473445</vt:i4>
      </vt:variant>
      <vt:variant>
        <vt:i4>18</vt:i4>
      </vt:variant>
      <vt:variant>
        <vt:i4>0</vt:i4>
      </vt:variant>
      <vt:variant>
        <vt:i4>5</vt:i4>
      </vt:variant>
      <vt:variant>
        <vt:lpwstr>https://files.fairtrade.net/standards/SOP_Development_Fairtrade_MinimumPrice_Premium.pdf</vt:lpwstr>
      </vt:variant>
      <vt:variant>
        <vt:lpwstr/>
      </vt:variant>
      <vt:variant>
        <vt:i4>3866701</vt:i4>
      </vt:variant>
      <vt:variant>
        <vt:i4>12</vt:i4>
      </vt:variant>
      <vt:variant>
        <vt:i4>0</vt:i4>
      </vt:variant>
      <vt:variant>
        <vt:i4>5</vt:i4>
      </vt:variant>
      <vt:variant>
        <vt:lpwstr>https://en.wikipedia.org/wiki/Lime_(fruit)</vt:lpwstr>
      </vt:variant>
      <vt:variant>
        <vt:lpwstr/>
      </vt:variant>
      <vt:variant>
        <vt:i4>5177347</vt:i4>
      </vt:variant>
      <vt:variant>
        <vt:i4>9</vt:i4>
      </vt:variant>
      <vt:variant>
        <vt:i4>0</vt:i4>
      </vt:variant>
      <vt:variant>
        <vt:i4>5</vt:i4>
      </vt:variant>
      <vt:variant>
        <vt:lpwstr>https://files.fairtrade.net/standards/3.1_Guidance_COSP_EN_2011-11-21.pdf</vt:lpwstr>
      </vt:variant>
      <vt:variant>
        <vt:lpwstr/>
      </vt:variant>
      <vt:variant>
        <vt:i4>3080264</vt:i4>
      </vt:variant>
      <vt:variant>
        <vt:i4>6</vt:i4>
      </vt:variant>
      <vt:variant>
        <vt:i4>0</vt:i4>
      </vt:variant>
      <vt:variant>
        <vt:i4>5</vt:i4>
      </vt:variant>
      <vt:variant>
        <vt:lpwstr>https://files.fairtrade.net/standards/3.1_COSP_sheet_20110207.xlt</vt:lpwstr>
      </vt:variant>
      <vt:variant>
        <vt:lpwstr/>
      </vt:variant>
      <vt:variant>
        <vt:i4>5177347</vt:i4>
      </vt:variant>
      <vt:variant>
        <vt:i4>3</vt:i4>
      </vt:variant>
      <vt:variant>
        <vt:i4>0</vt:i4>
      </vt:variant>
      <vt:variant>
        <vt:i4>5</vt:i4>
      </vt:variant>
      <vt:variant>
        <vt:lpwstr>https://files.fairtrade.net/standards/3.1_Guidance_COSP_EN_2011-11-21.pdf</vt:lpwstr>
      </vt:variant>
      <vt:variant>
        <vt:lpwstr/>
      </vt:variant>
      <vt:variant>
        <vt:i4>3080264</vt:i4>
      </vt:variant>
      <vt:variant>
        <vt:i4>0</vt:i4>
      </vt:variant>
      <vt:variant>
        <vt:i4>0</vt:i4>
      </vt:variant>
      <vt:variant>
        <vt:i4>5</vt:i4>
      </vt:variant>
      <vt:variant>
        <vt:lpwstr>https://files.fairtrade.net/standards/3.1_COSP_sheet_20110207.xlt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ester</dc:creator>
  <cp:keywords/>
  <dc:description/>
  <cp:lastModifiedBy>Ester Freixa Serra</cp:lastModifiedBy>
  <cp:revision>12</cp:revision>
  <cp:lastPrinted>2020-02-11T09:16:00Z</cp:lastPrinted>
  <dcterms:created xsi:type="dcterms:W3CDTF">2020-09-03T11:51:00Z</dcterms:created>
  <dcterms:modified xsi:type="dcterms:W3CDTF">2020-09-09T12:31:00Z</dcterms:modified>
</cp:coreProperties>
</file>